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DA3B3" w14:textId="77777777" w:rsidR="00E12A1E" w:rsidRPr="00071FCD" w:rsidRDefault="00E12A1E" w:rsidP="00071FCD">
      <w:pPr>
        <w:widowControl w:val="0"/>
        <w:autoSpaceDE/>
        <w:autoSpaceDN/>
        <w:adjustRightInd/>
        <w:jc w:val="center"/>
        <w:rPr>
          <w:rFonts w:eastAsia="MS Mincho"/>
          <w:b/>
          <w:caps/>
          <w:sz w:val="22"/>
          <w:szCs w:val="22"/>
          <w:lang w:val="uk-UA" w:eastAsia="ja-JP"/>
        </w:rPr>
      </w:pPr>
      <w:bookmarkStart w:id="0" w:name="_GoBack"/>
      <w:bookmarkEnd w:id="0"/>
      <w:r w:rsidRPr="00071FCD">
        <w:rPr>
          <w:rFonts w:eastAsia="MS Mincho"/>
          <w:b/>
          <w:caps/>
          <w:sz w:val="22"/>
          <w:szCs w:val="22"/>
          <w:lang w:val="uk-UA" w:eastAsia="ja-JP"/>
        </w:rPr>
        <w:t>Поперечні перерізи підбар’єрного злиття та пружного розсіяння, одержані на основі ядерно-ядерного потенціалу модифікованого методу томаса</w:t>
      </w:r>
      <w:r w:rsidR="00752024" w:rsidRPr="00071FCD">
        <w:rPr>
          <w:rFonts w:eastAsia="MS Mincho"/>
          <w:b/>
          <w:caps/>
          <w:sz w:val="22"/>
          <w:szCs w:val="22"/>
          <w:lang w:val="uk-UA" w:eastAsia="ja-JP"/>
        </w:rPr>
        <w:t xml:space="preserve"> </w:t>
      </w:r>
      <w:r w:rsidRPr="00071FCD">
        <w:rPr>
          <w:rFonts w:eastAsia="MS Mincho"/>
          <w:b/>
          <w:caps/>
          <w:sz w:val="22"/>
          <w:szCs w:val="22"/>
          <w:lang w:val="uk-UA" w:eastAsia="ja-JP"/>
        </w:rPr>
        <w:t>-</w:t>
      </w:r>
      <w:r w:rsidR="00752024" w:rsidRPr="00071FCD">
        <w:rPr>
          <w:rFonts w:eastAsia="MS Mincho"/>
          <w:b/>
          <w:caps/>
          <w:sz w:val="22"/>
          <w:szCs w:val="22"/>
          <w:lang w:val="uk-UA" w:eastAsia="ja-JP"/>
        </w:rPr>
        <w:t xml:space="preserve"> </w:t>
      </w:r>
      <w:r w:rsidRPr="00071FCD">
        <w:rPr>
          <w:rFonts w:eastAsia="MS Mincho"/>
          <w:b/>
          <w:caps/>
          <w:sz w:val="22"/>
          <w:szCs w:val="22"/>
          <w:lang w:val="uk-UA" w:eastAsia="ja-JP"/>
        </w:rPr>
        <w:t>фермі</w:t>
      </w:r>
    </w:p>
    <w:p w14:paraId="1C6DD243" w14:textId="77777777" w:rsidR="00E12A1E" w:rsidRPr="00071FCD" w:rsidRDefault="00E12A1E" w:rsidP="00071FCD">
      <w:pPr>
        <w:widowControl w:val="0"/>
        <w:autoSpaceDE/>
        <w:autoSpaceDN/>
        <w:adjustRightInd/>
        <w:jc w:val="center"/>
        <w:rPr>
          <w:bCs/>
          <w:sz w:val="22"/>
          <w:szCs w:val="22"/>
          <w:lang w:val="uk-UA"/>
        </w:rPr>
      </w:pPr>
    </w:p>
    <w:p w14:paraId="3C280BB6" w14:textId="77777777" w:rsidR="00E12A1E" w:rsidRPr="00071FCD" w:rsidRDefault="00E12A1E" w:rsidP="00071FCD">
      <w:pPr>
        <w:widowControl w:val="0"/>
        <w:autoSpaceDE/>
        <w:autoSpaceDN/>
        <w:adjustRightInd/>
        <w:jc w:val="center"/>
        <w:rPr>
          <w:b/>
          <w:sz w:val="22"/>
          <w:szCs w:val="22"/>
          <w:lang w:val="uk-UA"/>
        </w:rPr>
      </w:pPr>
      <w:r w:rsidRPr="00071FCD">
        <w:rPr>
          <w:b/>
          <w:sz w:val="22"/>
          <w:szCs w:val="22"/>
          <w:u w:val="single"/>
          <w:lang w:val="uk-UA"/>
        </w:rPr>
        <w:t>В.</w:t>
      </w:r>
      <w:r w:rsidRPr="00071FCD">
        <w:rPr>
          <w:b/>
          <w:sz w:val="22"/>
          <w:szCs w:val="22"/>
          <w:u w:val="single"/>
        </w:rPr>
        <w:t xml:space="preserve"> </w:t>
      </w:r>
      <w:r w:rsidRPr="00071FCD">
        <w:rPr>
          <w:b/>
          <w:sz w:val="22"/>
          <w:szCs w:val="22"/>
          <w:u w:val="single"/>
          <w:lang w:val="uk-UA"/>
        </w:rPr>
        <w:t>О. Нестеров</w:t>
      </w:r>
      <w:r w:rsidRPr="00071FCD">
        <w:rPr>
          <w:b/>
          <w:sz w:val="22"/>
          <w:szCs w:val="22"/>
          <w:lang w:val="uk-UA"/>
        </w:rPr>
        <w:t xml:space="preserve">, </w:t>
      </w:r>
      <w:r w:rsidRPr="00071FCD">
        <w:rPr>
          <w:rFonts w:eastAsia="MS Mincho"/>
          <w:b/>
          <w:sz w:val="22"/>
          <w:szCs w:val="22"/>
          <w:lang w:val="uk-UA" w:eastAsia="ja-JP"/>
        </w:rPr>
        <w:t>О.</w:t>
      </w:r>
      <w:r w:rsidRPr="00071FCD">
        <w:rPr>
          <w:rFonts w:eastAsia="MS Mincho"/>
          <w:b/>
          <w:sz w:val="22"/>
          <w:szCs w:val="22"/>
          <w:lang w:eastAsia="ja-JP"/>
        </w:rPr>
        <w:t xml:space="preserve"> </w:t>
      </w:r>
      <w:r w:rsidRPr="00071FCD">
        <w:rPr>
          <w:rFonts w:eastAsia="MS Mincho"/>
          <w:b/>
          <w:sz w:val="22"/>
          <w:szCs w:val="22"/>
          <w:lang w:val="uk-UA" w:eastAsia="ja-JP"/>
        </w:rPr>
        <w:t>І. Давидовська,</w:t>
      </w:r>
      <w:r w:rsidRPr="00071FCD">
        <w:rPr>
          <w:b/>
          <w:sz w:val="22"/>
          <w:szCs w:val="22"/>
          <w:lang w:val="uk-UA"/>
        </w:rPr>
        <w:t xml:space="preserve"> В.</w:t>
      </w:r>
      <w:r w:rsidRPr="00071FCD">
        <w:rPr>
          <w:b/>
          <w:sz w:val="22"/>
          <w:szCs w:val="22"/>
        </w:rPr>
        <w:t xml:space="preserve"> </w:t>
      </w:r>
      <w:r w:rsidRPr="00071FCD">
        <w:rPr>
          <w:b/>
          <w:sz w:val="22"/>
          <w:szCs w:val="22"/>
          <w:lang w:val="uk-UA"/>
        </w:rPr>
        <w:t>Ю. Денисов</w:t>
      </w:r>
    </w:p>
    <w:p w14:paraId="675627DF" w14:textId="77777777" w:rsidR="00E12A1E" w:rsidRPr="00071FCD" w:rsidRDefault="00E12A1E" w:rsidP="00071FCD">
      <w:pPr>
        <w:widowControl w:val="0"/>
        <w:autoSpaceDE/>
        <w:autoSpaceDN/>
        <w:adjustRightInd/>
        <w:jc w:val="center"/>
        <w:rPr>
          <w:bCs/>
          <w:sz w:val="22"/>
          <w:szCs w:val="22"/>
          <w:lang w:val="uk-UA"/>
        </w:rPr>
      </w:pPr>
    </w:p>
    <w:p w14:paraId="6F447F49" w14:textId="77777777" w:rsidR="00E12A1E" w:rsidRPr="00071FCD" w:rsidRDefault="00E12A1E" w:rsidP="00071FCD">
      <w:pPr>
        <w:widowControl w:val="0"/>
        <w:autoSpaceDE/>
        <w:autoSpaceDN/>
        <w:adjustRightInd/>
        <w:jc w:val="center"/>
        <w:rPr>
          <w:i/>
          <w:iCs/>
          <w:sz w:val="22"/>
          <w:szCs w:val="22"/>
          <w:lang w:val="uk-UA"/>
        </w:rPr>
      </w:pPr>
      <w:r w:rsidRPr="00071FCD">
        <w:rPr>
          <w:i/>
          <w:sz w:val="22"/>
          <w:szCs w:val="22"/>
          <w:lang w:val="uk-UA"/>
        </w:rPr>
        <w:t>Інститут ядерних досліджень НАН України, Київ, Україна</w:t>
      </w:r>
    </w:p>
    <w:p w14:paraId="31D3F53A" w14:textId="77777777" w:rsidR="00E12A1E" w:rsidRPr="00071FCD" w:rsidRDefault="00E12A1E" w:rsidP="00071FCD">
      <w:pPr>
        <w:widowControl w:val="0"/>
        <w:autoSpaceDE/>
        <w:autoSpaceDN/>
        <w:adjustRightInd/>
        <w:ind w:firstLine="284"/>
        <w:jc w:val="center"/>
        <w:rPr>
          <w:iCs/>
          <w:sz w:val="22"/>
          <w:szCs w:val="22"/>
          <w:lang w:val="uk-UA"/>
        </w:rPr>
      </w:pPr>
    </w:p>
    <w:p w14:paraId="2B738684" w14:textId="77777777" w:rsidR="00E12A1E" w:rsidRPr="00071FCD" w:rsidRDefault="00E12A1E" w:rsidP="00071FCD">
      <w:pPr>
        <w:widowControl w:val="0"/>
        <w:autoSpaceDE/>
        <w:autoSpaceDN/>
        <w:adjustRightInd/>
        <w:ind w:firstLine="284"/>
        <w:jc w:val="both"/>
        <w:rPr>
          <w:rFonts w:eastAsia="F28"/>
          <w:sz w:val="22"/>
          <w:szCs w:val="22"/>
          <w:lang w:val="uk-UA"/>
        </w:rPr>
      </w:pPr>
      <w:r w:rsidRPr="00071FCD">
        <w:rPr>
          <w:rFonts w:eastAsia="F28"/>
          <w:sz w:val="22"/>
          <w:szCs w:val="22"/>
          <w:lang w:val="uk-UA"/>
        </w:rPr>
        <w:t>Протягом всього існування теоретичної ядерної фізики до розряду головних її задач відноситься виявлення закономірностей взаємодії атомних ядер. Для розрахунку таких принципових характеристик ядерних реакцій, як поперечні перерізи різноманітних процесів, нам перш за все необхідно знати потенціальну енергію взаємодії між ядрами [1, 2]. Особливо важливими є відомості про величину i радіальну залежність потенціалу взаємодії за невеликих відстаней між ними.</w:t>
      </w:r>
    </w:p>
    <w:p w14:paraId="09FC44A2" w14:textId="77777777" w:rsidR="00E12A1E" w:rsidRPr="00071FCD" w:rsidRDefault="00752024" w:rsidP="00071FCD">
      <w:pPr>
        <w:widowControl w:val="0"/>
        <w:autoSpaceDE/>
        <w:autoSpaceDN/>
        <w:adjustRightInd/>
        <w:ind w:firstLine="284"/>
        <w:jc w:val="both"/>
        <w:rPr>
          <w:sz w:val="22"/>
          <w:szCs w:val="22"/>
          <w:lang w:val="uk-UA"/>
        </w:rPr>
      </w:pPr>
      <w:r w:rsidRPr="00071FCD">
        <w:rPr>
          <w:sz w:val="22"/>
          <w:szCs w:val="22"/>
          <w:lang w:val="uk-UA"/>
        </w:rPr>
        <w:t>У</w:t>
      </w:r>
      <w:r w:rsidR="00E12A1E" w:rsidRPr="00071FCD">
        <w:rPr>
          <w:sz w:val="22"/>
          <w:szCs w:val="22"/>
          <w:lang w:val="uk-UA"/>
        </w:rPr>
        <w:t xml:space="preserve"> даній роботі ми розрахували потенціали ядерно-ядерної взаємодії для реакцій </w:t>
      </w:r>
      <w:r w:rsidR="00E12A1E" w:rsidRPr="00071FCD">
        <w:rPr>
          <w:sz w:val="22"/>
          <w:szCs w:val="22"/>
          <w:vertAlign w:val="superscript"/>
          <w:lang w:val="uk-UA"/>
        </w:rPr>
        <w:t>16</w:t>
      </w:r>
      <w:r w:rsidR="00E12A1E" w:rsidRPr="00071FCD">
        <w:rPr>
          <w:sz w:val="22"/>
          <w:szCs w:val="22"/>
          <w:lang w:val="uk-UA"/>
        </w:rPr>
        <w:t>O</w:t>
      </w:r>
      <w:r w:rsidRPr="00071FCD">
        <w:rPr>
          <w:sz w:val="22"/>
          <w:szCs w:val="22"/>
          <w:lang w:val="uk-UA"/>
        </w:rPr>
        <w:t> </w:t>
      </w:r>
      <w:r w:rsidR="00E12A1E" w:rsidRPr="00071FCD">
        <w:rPr>
          <w:sz w:val="22"/>
          <w:szCs w:val="22"/>
          <w:lang w:val="uk-UA"/>
        </w:rPr>
        <w:t>+</w:t>
      </w:r>
      <w:r w:rsidRPr="00071FCD">
        <w:rPr>
          <w:sz w:val="22"/>
          <w:szCs w:val="22"/>
          <w:lang w:val="uk-UA"/>
        </w:rPr>
        <w:t> </w:t>
      </w:r>
      <w:r w:rsidR="00E12A1E" w:rsidRPr="00071FCD">
        <w:rPr>
          <w:sz w:val="22"/>
          <w:szCs w:val="22"/>
          <w:vertAlign w:val="superscript"/>
          <w:lang w:val="uk-UA"/>
        </w:rPr>
        <w:t>208</w:t>
      </w:r>
      <w:r w:rsidR="00E12A1E" w:rsidRPr="00071FCD">
        <w:rPr>
          <w:sz w:val="22"/>
          <w:szCs w:val="22"/>
          <w:lang w:val="uk-UA"/>
        </w:rPr>
        <w:t xml:space="preserve">Pb та </w:t>
      </w:r>
      <w:r w:rsidR="00E12A1E" w:rsidRPr="00071FCD">
        <w:rPr>
          <w:sz w:val="22"/>
          <w:szCs w:val="22"/>
          <w:vertAlign w:val="superscript"/>
          <w:lang w:val="uk-UA"/>
        </w:rPr>
        <w:t>12</w:t>
      </w:r>
      <w:r w:rsidR="00E12A1E" w:rsidRPr="00071FCD">
        <w:rPr>
          <w:sz w:val="22"/>
          <w:szCs w:val="22"/>
          <w:lang w:val="uk-UA"/>
        </w:rPr>
        <w:t>C</w:t>
      </w:r>
      <w:r w:rsidRPr="00071FCD">
        <w:rPr>
          <w:sz w:val="22"/>
          <w:szCs w:val="22"/>
          <w:lang w:val="uk-UA"/>
        </w:rPr>
        <w:t> </w:t>
      </w:r>
      <w:r w:rsidR="00E12A1E" w:rsidRPr="00071FCD">
        <w:rPr>
          <w:sz w:val="22"/>
          <w:szCs w:val="22"/>
          <w:lang w:val="uk-UA"/>
        </w:rPr>
        <w:t>+</w:t>
      </w:r>
      <w:r w:rsidRPr="00071FCD">
        <w:rPr>
          <w:sz w:val="22"/>
          <w:szCs w:val="22"/>
          <w:lang w:val="uk-UA"/>
        </w:rPr>
        <w:t> </w:t>
      </w:r>
      <w:r w:rsidR="00E12A1E" w:rsidRPr="00071FCD">
        <w:rPr>
          <w:sz w:val="22"/>
          <w:szCs w:val="22"/>
          <w:vertAlign w:val="superscript"/>
          <w:lang w:val="uk-UA"/>
        </w:rPr>
        <w:t>208</w:t>
      </w:r>
      <w:r w:rsidR="00E12A1E" w:rsidRPr="00071FCD">
        <w:rPr>
          <w:sz w:val="22"/>
          <w:szCs w:val="22"/>
          <w:lang w:val="uk-UA"/>
        </w:rPr>
        <w:t xml:space="preserve">Pb </w:t>
      </w:r>
      <w:r w:rsidRPr="00071FCD">
        <w:rPr>
          <w:sz w:val="22"/>
          <w:szCs w:val="22"/>
          <w:lang w:val="uk-UA"/>
        </w:rPr>
        <w:t>у</w:t>
      </w:r>
      <w:r w:rsidR="00E12A1E" w:rsidRPr="00071FCD">
        <w:rPr>
          <w:sz w:val="22"/>
          <w:szCs w:val="22"/>
          <w:lang w:val="uk-UA"/>
        </w:rPr>
        <w:t xml:space="preserve"> рамках модифікованого підходу Томаса</w:t>
      </w:r>
      <w:r w:rsidRPr="00071FCD">
        <w:rPr>
          <w:sz w:val="22"/>
          <w:szCs w:val="22"/>
          <w:lang w:val="uk-UA"/>
        </w:rPr>
        <w:t xml:space="preserve"> </w:t>
      </w:r>
      <w:r w:rsidR="00E12A1E" w:rsidRPr="00071FCD">
        <w:rPr>
          <w:sz w:val="22"/>
          <w:szCs w:val="22"/>
          <w:lang w:val="uk-UA"/>
        </w:rPr>
        <w:t>-</w:t>
      </w:r>
      <w:r w:rsidRPr="00071FCD">
        <w:rPr>
          <w:sz w:val="22"/>
          <w:szCs w:val="22"/>
          <w:lang w:val="uk-UA"/>
        </w:rPr>
        <w:t xml:space="preserve"> </w:t>
      </w:r>
      <w:r w:rsidR="00E12A1E" w:rsidRPr="00071FCD">
        <w:rPr>
          <w:sz w:val="22"/>
          <w:szCs w:val="22"/>
          <w:lang w:val="uk-UA"/>
        </w:rPr>
        <w:t>Фермі [3</w:t>
      </w:r>
      <w:r w:rsidRPr="00071FCD">
        <w:rPr>
          <w:sz w:val="22"/>
          <w:szCs w:val="22"/>
          <w:lang w:val="uk-UA"/>
        </w:rPr>
        <w:t xml:space="preserve"> </w:t>
      </w:r>
      <w:r w:rsidR="00E12A1E" w:rsidRPr="00071FCD">
        <w:rPr>
          <w:sz w:val="22"/>
          <w:szCs w:val="22"/>
          <w:lang w:val="uk-UA"/>
        </w:rPr>
        <w:t>-</w:t>
      </w:r>
      <w:r w:rsidRPr="00071FCD">
        <w:rPr>
          <w:sz w:val="22"/>
          <w:szCs w:val="22"/>
          <w:lang w:val="uk-UA"/>
        </w:rPr>
        <w:t xml:space="preserve"> </w:t>
      </w:r>
      <w:r w:rsidR="00E12A1E" w:rsidRPr="00071FCD">
        <w:rPr>
          <w:sz w:val="22"/>
          <w:szCs w:val="22"/>
          <w:lang w:val="uk-UA"/>
        </w:rPr>
        <w:t xml:space="preserve">8] </w:t>
      </w:r>
      <w:r w:rsidRPr="00071FCD">
        <w:rPr>
          <w:sz w:val="22"/>
          <w:szCs w:val="22"/>
          <w:lang w:val="uk-UA"/>
        </w:rPr>
        <w:t>і</w:t>
      </w:r>
      <w:r w:rsidR="00E12A1E" w:rsidRPr="00071FCD">
        <w:rPr>
          <w:sz w:val="22"/>
          <w:szCs w:val="22"/>
          <w:lang w:val="uk-UA"/>
        </w:rPr>
        <w:t>з залежними від густини силами Скірма [9]. При цьому в кваз</w:t>
      </w:r>
      <w:r w:rsidRPr="00071FCD">
        <w:rPr>
          <w:sz w:val="22"/>
          <w:szCs w:val="22"/>
          <w:lang w:val="uk-UA"/>
        </w:rPr>
        <w:t>і</w:t>
      </w:r>
      <w:r w:rsidR="00E12A1E" w:rsidRPr="00071FCD">
        <w:rPr>
          <w:sz w:val="22"/>
          <w:szCs w:val="22"/>
          <w:lang w:val="uk-UA"/>
        </w:rPr>
        <w:t xml:space="preserve">класичному розкладі кінетичної енергії враховувалися всі доданки до другого порядку по ħ. Підкреслимо, що густини нуклонів, </w:t>
      </w:r>
      <w:r w:rsidRPr="00071FCD">
        <w:rPr>
          <w:sz w:val="22"/>
          <w:szCs w:val="22"/>
          <w:lang w:val="uk-UA"/>
        </w:rPr>
        <w:t>що</w:t>
      </w:r>
      <w:r w:rsidR="00E12A1E" w:rsidRPr="00071FCD">
        <w:rPr>
          <w:sz w:val="22"/>
          <w:szCs w:val="22"/>
          <w:lang w:val="uk-UA"/>
        </w:rPr>
        <w:t xml:space="preserve"> використовувались при розрахунках потенціалів, також отримані в тому ж наближенні модифікованого підходу Томаса</w:t>
      </w:r>
      <w:r w:rsidRPr="00071FCD">
        <w:rPr>
          <w:sz w:val="22"/>
          <w:szCs w:val="22"/>
          <w:lang w:val="uk-UA"/>
        </w:rPr>
        <w:t xml:space="preserve"> </w:t>
      </w:r>
      <w:r w:rsidR="00E12A1E" w:rsidRPr="00071FCD">
        <w:rPr>
          <w:sz w:val="22"/>
          <w:szCs w:val="22"/>
          <w:lang w:val="uk-UA"/>
        </w:rPr>
        <w:t>-</w:t>
      </w:r>
      <w:r w:rsidRPr="00071FCD">
        <w:rPr>
          <w:sz w:val="22"/>
          <w:szCs w:val="22"/>
          <w:lang w:val="uk-UA"/>
        </w:rPr>
        <w:t xml:space="preserve"> </w:t>
      </w:r>
      <w:r w:rsidR="00E12A1E" w:rsidRPr="00071FCD">
        <w:rPr>
          <w:sz w:val="22"/>
          <w:szCs w:val="22"/>
          <w:lang w:val="uk-UA"/>
        </w:rPr>
        <w:t xml:space="preserve">Фермі. Потенціали розраховувалися в наближенні </w:t>
      </w:r>
      <w:r w:rsidRPr="00071FCD">
        <w:rPr>
          <w:sz w:val="22"/>
          <w:szCs w:val="22"/>
          <w:lang w:val="uk-UA"/>
        </w:rPr>
        <w:t>«</w:t>
      </w:r>
      <w:r w:rsidR="00E12A1E" w:rsidRPr="00071FCD">
        <w:rPr>
          <w:sz w:val="22"/>
          <w:szCs w:val="22"/>
          <w:lang w:val="uk-UA"/>
        </w:rPr>
        <w:t>заморожених густин</w:t>
      </w:r>
      <w:r w:rsidRPr="00071FCD">
        <w:rPr>
          <w:sz w:val="22"/>
          <w:szCs w:val="22"/>
          <w:lang w:val="uk-UA"/>
        </w:rPr>
        <w:t>»</w:t>
      </w:r>
      <w:r w:rsidR="00E12A1E" w:rsidRPr="00071FCD">
        <w:rPr>
          <w:sz w:val="22"/>
          <w:szCs w:val="22"/>
          <w:lang w:val="uk-UA"/>
        </w:rPr>
        <w:t>, що цілком застосовне за енергій зіткнення поблизу бар</w:t>
      </w:r>
      <w:r w:rsidRPr="00071FCD">
        <w:rPr>
          <w:sz w:val="22"/>
          <w:szCs w:val="22"/>
          <w:lang w:val="uk-UA"/>
        </w:rPr>
        <w:t>’</w:t>
      </w:r>
      <w:r w:rsidR="00E12A1E" w:rsidRPr="00071FCD">
        <w:rPr>
          <w:sz w:val="22"/>
          <w:szCs w:val="22"/>
          <w:lang w:val="uk-UA"/>
        </w:rPr>
        <w:t>єра. Таке наближення дає нам змогу детально дослідити властивості ядерно-ядерної взаємодії в околі точки дотику ядер. Отримані нами потенціали взаємодії наведено на рис</w:t>
      </w:r>
      <w:r w:rsidRPr="00071FCD">
        <w:rPr>
          <w:sz w:val="22"/>
          <w:szCs w:val="22"/>
          <w:lang w:val="uk-UA"/>
        </w:rPr>
        <w:t>.</w:t>
      </w:r>
      <w:r w:rsidR="00E12A1E" w:rsidRPr="00071FCD">
        <w:rPr>
          <w:sz w:val="22"/>
          <w:szCs w:val="22"/>
          <w:lang w:val="uk-UA"/>
        </w:rPr>
        <w:t xml:space="preserve"> 1 та 2.</w:t>
      </w:r>
    </w:p>
    <w:p w14:paraId="2DE1A3B0" w14:textId="77777777" w:rsidR="00E12A1E" w:rsidRPr="00071FCD" w:rsidRDefault="00E12A1E" w:rsidP="00071FCD">
      <w:pPr>
        <w:widowControl w:val="0"/>
        <w:autoSpaceDE/>
        <w:autoSpaceDN/>
        <w:adjustRightInd/>
        <w:ind w:firstLine="284"/>
        <w:jc w:val="both"/>
        <w:rPr>
          <w:sz w:val="22"/>
          <w:szCs w:val="22"/>
          <w:lang w:val="uk-UA"/>
        </w:rPr>
      </w:pPr>
    </w:p>
    <w:tbl>
      <w:tblPr>
        <w:tblW w:w="5000" w:type="pct"/>
        <w:tblLook w:val="04A0" w:firstRow="1" w:lastRow="0" w:firstColumn="1" w:lastColumn="0" w:noHBand="0" w:noVBand="1"/>
      </w:tblPr>
      <w:tblGrid>
        <w:gridCol w:w="4927"/>
        <w:gridCol w:w="4928"/>
      </w:tblGrid>
      <w:tr w:rsidR="00E12A1E" w:rsidRPr="00071FCD" w14:paraId="56AEC672" w14:textId="77777777" w:rsidTr="0043498A">
        <w:trPr>
          <w:trHeight w:val="3450"/>
        </w:trPr>
        <w:tc>
          <w:tcPr>
            <w:tcW w:w="2500" w:type="pct"/>
            <w:shd w:val="clear" w:color="auto" w:fill="auto"/>
          </w:tcPr>
          <w:p w14:paraId="4451708D" w14:textId="72E1F6F2" w:rsidR="00E12A1E" w:rsidRPr="00071FCD" w:rsidRDefault="00F71CDB" w:rsidP="00071FCD">
            <w:pPr>
              <w:widowControl w:val="0"/>
              <w:autoSpaceDE/>
              <w:autoSpaceDN/>
              <w:adjustRightInd/>
              <w:jc w:val="center"/>
              <w:rPr>
                <w:sz w:val="22"/>
                <w:szCs w:val="22"/>
                <w:lang w:val="uk-UA"/>
              </w:rPr>
            </w:pPr>
            <w:r w:rsidRPr="00071FCD">
              <w:rPr>
                <w:noProof/>
                <w:sz w:val="22"/>
                <w:szCs w:val="22"/>
                <w:lang w:val="uk-UA"/>
              </w:rPr>
              <w:drawing>
                <wp:inline distT="0" distB="0" distL="0" distR="0" wp14:anchorId="374814E4" wp14:editId="5A9074E9">
                  <wp:extent cx="2976245" cy="2113280"/>
                  <wp:effectExtent l="0" t="0" r="0" b="0"/>
                  <wp:docPr id="1" name="Picture 1" descr="fig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2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6245" cy="2113280"/>
                          </a:xfrm>
                          <a:prstGeom prst="rect">
                            <a:avLst/>
                          </a:prstGeom>
                          <a:noFill/>
                          <a:ln>
                            <a:noFill/>
                          </a:ln>
                        </pic:spPr>
                      </pic:pic>
                    </a:graphicData>
                  </a:graphic>
                </wp:inline>
              </w:drawing>
            </w:r>
          </w:p>
        </w:tc>
        <w:tc>
          <w:tcPr>
            <w:tcW w:w="2500" w:type="pct"/>
            <w:shd w:val="clear" w:color="auto" w:fill="auto"/>
          </w:tcPr>
          <w:p w14:paraId="0357B45B" w14:textId="0BFBD948" w:rsidR="00E12A1E" w:rsidRPr="00071FCD" w:rsidRDefault="00F71CDB" w:rsidP="00071FCD">
            <w:pPr>
              <w:widowControl w:val="0"/>
              <w:autoSpaceDE/>
              <w:autoSpaceDN/>
              <w:adjustRightInd/>
              <w:jc w:val="center"/>
              <w:rPr>
                <w:sz w:val="22"/>
                <w:szCs w:val="22"/>
                <w:lang w:val="uk-UA"/>
              </w:rPr>
            </w:pPr>
            <w:r w:rsidRPr="00071FCD">
              <w:rPr>
                <w:noProof/>
                <w:sz w:val="22"/>
                <w:szCs w:val="22"/>
                <w:lang w:val="uk-UA"/>
              </w:rPr>
              <w:drawing>
                <wp:inline distT="0" distB="0" distL="0" distR="0" wp14:anchorId="63563423" wp14:editId="156CDA35">
                  <wp:extent cx="2924175" cy="2113280"/>
                  <wp:effectExtent l="0" t="0" r="0" b="0"/>
                  <wp:docPr id="2" name="Picture 2" descr="fig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2113280"/>
                          </a:xfrm>
                          <a:prstGeom prst="rect">
                            <a:avLst/>
                          </a:prstGeom>
                          <a:noFill/>
                          <a:ln>
                            <a:noFill/>
                          </a:ln>
                        </pic:spPr>
                      </pic:pic>
                    </a:graphicData>
                  </a:graphic>
                </wp:inline>
              </w:drawing>
            </w:r>
          </w:p>
        </w:tc>
      </w:tr>
      <w:tr w:rsidR="00E12A1E" w:rsidRPr="00071FCD" w14:paraId="40A2B884" w14:textId="77777777" w:rsidTr="0043498A">
        <w:tc>
          <w:tcPr>
            <w:tcW w:w="2500" w:type="pct"/>
            <w:shd w:val="clear" w:color="auto" w:fill="auto"/>
            <w:tcMar>
              <w:left w:w="142" w:type="dxa"/>
              <w:right w:w="142" w:type="dxa"/>
            </w:tcMar>
          </w:tcPr>
          <w:p w14:paraId="09FFF6E2" w14:textId="77777777" w:rsidR="00E12A1E" w:rsidRPr="00071FCD" w:rsidRDefault="00E12A1E" w:rsidP="00071FCD">
            <w:pPr>
              <w:widowControl w:val="0"/>
              <w:autoSpaceDE/>
              <w:autoSpaceDN/>
              <w:adjustRightInd/>
              <w:jc w:val="both"/>
              <w:rPr>
                <w:rFonts w:eastAsia="F29"/>
                <w:sz w:val="22"/>
                <w:szCs w:val="22"/>
                <w:lang w:val="uk-UA"/>
              </w:rPr>
            </w:pPr>
            <w:r w:rsidRPr="00071FCD">
              <w:rPr>
                <w:rFonts w:eastAsia="F88"/>
                <w:sz w:val="22"/>
                <w:szCs w:val="22"/>
                <w:lang w:val="uk-UA"/>
              </w:rPr>
              <w:t>Рис.</w:t>
            </w:r>
            <w:r w:rsidR="00B664C0">
              <w:rPr>
                <w:rFonts w:eastAsia="F88"/>
                <w:sz w:val="22"/>
                <w:szCs w:val="22"/>
                <w:lang w:val="uk-UA"/>
              </w:rPr>
              <w:t> </w:t>
            </w:r>
            <w:r w:rsidRPr="00071FCD">
              <w:rPr>
                <w:rFonts w:eastAsia="F88"/>
                <w:sz w:val="22"/>
                <w:szCs w:val="22"/>
                <w:lang w:val="uk-UA"/>
              </w:rPr>
              <w:t xml:space="preserve">1. </w:t>
            </w:r>
            <w:r w:rsidRPr="00071FCD">
              <w:rPr>
                <w:rFonts w:eastAsia="F29"/>
                <w:sz w:val="22"/>
                <w:szCs w:val="22"/>
                <w:lang w:val="uk-UA"/>
              </w:rPr>
              <w:t xml:space="preserve">Потенціал ядерно-ядерної взаємодії, </w:t>
            </w:r>
            <w:r w:rsidR="005A749B" w:rsidRPr="00071FCD">
              <w:rPr>
                <w:rFonts w:eastAsia="F29"/>
                <w:sz w:val="22"/>
                <w:szCs w:val="22"/>
                <w:lang w:val="uk-UA"/>
              </w:rPr>
              <w:br w:type="textWrapping" w:clear="all"/>
            </w:r>
            <w:r w:rsidRPr="00071FCD">
              <w:rPr>
                <w:rFonts w:eastAsia="F29"/>
                <w:sz w:val="22"/>
                <w:szCs w:val="22"/>
                <w:lang w:val="uk-UA"/>
              </w:rPr>
              <w:t xml:space="preserve">одержаний </w:t>
            </w:r>
            <w:r w:rsidR="007F4434" w:rsidRPr="00071FCD">
              <w:rPr>
                <w:rFonts w:eastAsia="F29"/>
                <w:sz w:val="22"/>
                <w:szCs w:val="22"/>
                <w:lang w:val="uk-UA"/>
              </w:rPr>
              <w:t>у</w:t>
            </w:r>
            <w:r w:rsidRPr="00071FCD">
              <w:rPr>
                <w:rFonts w:eastAsia="F29"/>
                <w:sz w:val="22"/>
                <w:szCs w:val="22"/>
                <w:lang w:val="uk-UA"/>
              </w:rPr>
              <w:t xml:space="preserve"> рамках модифікованого підходу Томаса</w:t>
            </w:r>
            <w:r w:rsidR="007F4434" w:rsidRPr="00071FCD">
              <w:rPr>
                <w:rFonts w:eastAsia="F29"/>
                <w:sz w:val="22"/>
                <w:szCs w:val="22"/>
                <w:lang w:val="uk-UA"/>
              </w:rPr>
              <w:t xml:space="preserve"> </w:t>
            </w:r>
            <w:r w:rsidRPr="00071FCD">
              <w:rPr>
                <w:rFonts w:eastAsia="F29"/>
                <w:sz w:val="22"/>
                <w:szCs w:val="22"/>
                <w:lang w:val="uk-UA"/>
              </w:rPr>
              <w:t>-</w:t>
            </w:r>
            <w:r w:rsidR="007F4434" w:rsidRPr="00071FCD">
              <w:rPr>
                <w:rFonts w:eastAsia="F29"/>
                <w:sz w:val="22"/>
                <w:szCs w:val="22"/>
                <w:lang w:val="uk-UA"/>
              </w:rPr>
              <w:t xml:space="preserve"> </w:t>
            </w:r>
            <w:r w:rsidRPr="00071FCD">
              <w:rPr>
                <w:rFonts w:eastAsia="F29"/>
                <w:sz w:val="22"/>
                <w:szCs w:val="22"/>
                <w:lang w:val="uk-UA"/>
              </w:rPr>
              <w:t xml:space="preserve">Фермі для системи </w:t>
            </w:r>
            <w:r w:rsidRPr="00071FCD">
              <w:rPr>
                <w:rFonts w:eastAsia="F29"/>
                <w:sz w:val="22"/>
                <w:szCs w:val="22"/>
                <w:vertAlign w:val="superscript"/>
                <w:lang w:val="uk-UA"/>
              </w:rPr>
              <w:t>16</w:t>
            </w:r>
            <w:r w:rsidRPr="00071FCD">
              <w:rPr>
                <w:rFonts w:eastAsia="F29"/>
                <w:sz w:val="22"/>
                <w:szCs w:val="22"/>
                <w:lang w:val="uk-UA"/>
              </w:rPr>
              <w:t>O</w:t>
            </w:r>
            <w:r w:rsidR="007F4434" w:rsidRPr="00071FCD">
              <w:rPr>
                <w:rFonts w:eastAsia="F29"/>
                <w:sz w:val="22"/>
                <w:szCs w:val="22"/>
                <w:lang w:val="uk-UA"/>
              </w:rPr>
              <w:t xml:space="preserve"> </w:t>
            </w:r>
            <w:r w:rsidRPr="00071FCD">
              <w:rPr>
                <w:rFonts w:eastAsia="F29"/>
                <w:sz w:val="22"/>
                <w:szCs w:val="22"/>
                <w:lang w:val="uk-UA"/>
              </w:rPr>
              <w:t>+</w:t>
            </w:r>
            <w:r w:rsidR="007F4434" w:rsidRPr="00071FCD">
              <w:rPr>
                <w:rFonts w:eastAsia="F29"/>
                <w:sz w:val="22"/>
                <w:szCs w:val="22"/>
                <w:lang w:val="uk-UA"/>
              </w:rPr>
              <w:t xml:space="preserve"> </w:t>
            </w:r>
            <w:r w:rsidRPr="00071FCD">
              <w:rPr>
                <w:rFonts w:eastAsia="F29"/>
                <w:sz w:val="22"/>
                <w:szCs w:val="22"/>
                <w:vertAlign w:val="superscript"/>
                <w:lang w:val="uk-UA"/>
              </w:rPr>
              <w:t>208</w:t>
            </w:r>
            <w:r w:rsidRPr="00071FCD">
              <w:rPr>
                <w:rFonts w:eastAsia="F29"/>
                <w:sz w:val="22"/>
                <w:szCs w:val="22"/>
                <w:lang w:val="uk-UA"/>
              </w:rPr>
              <w:t>Pb (ETF).</w:t>
            </w:r>
          </w:p>
        </w:tc>
        <w:tc>
          <w:tcPr>
            <w:tcW w:w="2500" w:type="pct"/>
            <w:shd w:val="clear" w:color="auto" w:fill="auto"/>
            <w:tcMar>
              <w:left w:w="142" w:type="dxa"/>
              <w:right w:w="142" w:type="dxa"/>
            </w:tcMar>
          </w:tcPr>
          <w:p w14:paraId="3BAEEC0E" w14:textId="77777777" w:rsidR="00E12A1E" w:rsidRPr="00071FCD" w:rsidRDefault="00E12A1E" w:rsidP="00071FCD">
            <w:pPr>
              <w:widowControl w:val="0"/>
              <w:autoSpaceDE/>
              <w:autoSpaceDN/>
              <w:adjustRightInd/>
              <w:jc w:val="both"/>
              <w:rPr>
                <w:sz w:val="22"/>
                <w:szCs w:val="22"/>
                <w:lang w:val="uk-UA"/>
              </w:rPr>
            </w:pPr>
            <w:r w:rsidRPr="00071FCD">
              <w:rPr>
                <w:rFonts w:eastAsia="F88"/>
                <w:sz w:val="22"/>
                <w:szCs w:val="22"/>
                <w:lang w:val="uk-UA"/>
              </w:rPr>
              <w:t>Рис.</w:t>
            </w:r>
            <w:r w:rsidR="00B664C0">
              <w:rPr>
                <w:rFonts w:eastAsia="F88"/>
                <w:sz w:val="22"/>
                <w:szCs w:val="22"/>
                <w:lang w:val="uk-UA"/>
              </w:rPr>
              <w:t> </w:t>
            </w:r>
            <w:r w:rsidRPr="00071FCD">
              <w:rPr>
                <w:rFonts w:eastAsia="F88"/>
                <w:sz w:val="22"/>
                <w:szCs w:val="22"/>
                <w:lang w:val="uk-UA"/>
              </w:rPr>
              <w:t xml:space="preserve">2. </w:t>
            </w:r>
            <w:r w:rsidRPr="00071FCD">
              <w:rPr>
                <w:rFonts w:eastAsia="F29"/>
                <w:sz w:val="22"/>
                <w:szCs w:val="22"/>
                <w:lang w:val="uk-UA"/>
              </w:rPr>
              <w:t xml:space="preserve">Потенціал ядерно-ядерної взаємодії, </w:t>
            </w:r>
            <w:r w:rsidR="005A749B" w:rsidRPr="00071FCD">
              <w:rPr>
                <w:rFonts w:eastAsia="F29"/>
                <w:sz w:val="22"/>
                <w:szCs w:val="22"/>
                <w:lang w:val="uk-UA"/>
              </w:rPr>
              <w:br w:type="textWrapping" w:clear="all"/>
            </w:r>
            <w:r w:rsidRPr="00071FCD">
              <w:rPr>
                <w:rFonts w:eastAsia="F29"/>
                <w:sz w:val="22"/>
                <w:szCs w:val="22"/>
                <w:lang w:val="uk-UA"/>
              </w:rPr>
              <w:t xml:space="preserve">одержаний </w:t>
            </w:r>
            <w:r w:rsidR="007F4434" w:rsidRPr="00071FCD">
              <w:rPr>
                <w:rFonts w:eastAsia="F29"/>
                <w:sz w:val="22"/>
                <w:szCs w:val="22"/>
                <w:lang w:val="uk-UA"/>
              </w:rPr>
              <w:t>у</w:t>
            </w:r>
            <w:r w:rsidRPr="00071FCD">
              <w:rPr>
                <w:rFonts w:eastAsia="F29"/>
                <w:sz w:val="22"/>
                <w:szCs w:val="22"/>
                <w:lang w:val="uk-UA"/>
              </w:rPr>
              <w:t xml:space="preserve"> рамках модифікованого підходу Томаса</w:t>
            </w:r>
            <w:r w:rsidR="007F4434" w:rsidRPr="00071FCD">
              <w:rPr>
                <w:rFonts w:eastAsia="F29"/>
                <w:sz w:val="22"/>
                <w:szCs w:val="22"/>
                <w:lang w:val="uk-UA"/>
              </w:rPr>
              <w:t xml:space="preserve"> </w:t>
            </w:r>
            <w:r w:rsidRPr="00071FCD">
              <w:rPr>
                <w:rFonts w:eastAsia="F29"/>
                <w:sz w:val="22"/>
                <w:szCs w:val="22"/>
                <w:lang w:val="uk-UA"/>
              </w:rPr>
              <w:t>-</w:t>
            </w:r>
            <w:r w:rsidR="007F4434" w:rsidRPr="00071FCD">
              <w:rPr>
                <w:rFonts w:eastAsia="F29"/>
                <w:sz w:val="22"/>
                <w:szCs w:val="22"/>
                <w:lang w:val="uk-UA"/>
              </w:rPr>
              <w:t xml:space="preserve"> </w:t>
            </w:r>
            <w:r w:rsidRPr="00071FCD">
              <w:rPr>
                <w:rFonts w:eastAsia="F29"/>
                <w:sz w:val="22"/>
                <w:szCs w:val="22"/>
                <w:lang w:val="uk-UA"/>
              </w:rPr>
              <w:t xml:space="preserve">Фермі для системи </w:t>
            </w:r>
            <w:r w:rsidRPr="00071FCD">
              <w:rPr>
                <w:rFonts w:eastAsia="F29"/>
                <w:sz w:val="22"/>
                <w:szCs w:val="22"/>
                <w:vertAlign w:val="superscript"/>
                <w:lang w:val="uk-UA"/>
              </w:rPr>
              <w:t>12</w:t>
            </w:r>
            <w:r w:rsidRPr="00071FCD">
              <w:rPr>
                <w:rFonts w:eastAsia="F29"/>
                <w:sz w:val="22"/>
                <w:szCs w:val="22"/>
                <w:lang w:val="uk-UA"/>
              </w:rPr>
              <w:t>C</w:t>
            </w:r>
            <w:r w:rsidR="007F4434" w:rsidRPr="00071FCD">
              <w:rPr>
                <w:rFonts w:eastAsia="F29"/>
                <w:sz w:val="22"/>
                <w:szCs w:val="22"/>
                <w:lang w:val="uk-UA"/>
              </w:rPr>
              <w:t xml:space="preserve"> </w:t>
            </w:r>
            <w:r w:rsidRPr="00071FCD">
              <w:rPr>
                <w:rFonts w:eastAsia="F29"/>
                <w:sz w:val="22"/>
                <w:szCs w:val="22"/>
                <w:lang w:val="uk-UA"/>
              </w:rPr>
              <w:t>+</w:t>
            </w:r>
            <w:r w:rsidR="007F4434" w:rsidRPr="00071FCD">
              <w:rPr>
                <w:rFonts w:eastAsia="F29"/>
                <w:sz w:val="22"/>
                <w:szCs w:val="22"/>
                <w:lang w:val="uk-UA"/>
              </w:rPr>
              <w:t xml:space="preserve"> </w:t>
            </w:r>
            <w:r w:rsidRPr="00071FCD">
              <w:rPr>
                <w:rFonts w:eastAsia="F29"/>
                <w:sz w:val="22"/>
                <w:szCs w:val="22"/>
                <w:vertAlign w:val="superscript"/>
                <w:lang w:val="uk-UA"/>
              </w:rPr>
              <w:t>208</w:t>
            </w:r>
            <w:r w:rsidRPr="00071FCD">
              <w:rPr>
                <w:rFonts w:eastAsia="F29"/>
                <w:sz w:val="22"/>
                <w:szCs w:val="22"/>
                <w:lang w:val="uk-UA"/>
              </w:rPr>
              <w:t>Pb (ETF).</w:t>
            </w:r>
          </w:p>
        </w:tc>
      </w:tr>
    </w:tbl>
    <w:p w14:paraId="3D8D7B37" w14:textId="77777777" w:rsidR="007F4434" w:rsidRPr="00071FCD" w:rsidRDefault="007F4434" w:rsidP="00071FCD">
      <w:pPr>
        <w:widowControl w:val="0"/>
        <w:autoSpaceDE/>
        <w:autoSpaceDN/>
        <w:adjustRightInd/>
        <w:ind w:firstLine="284"/>
        <w:jc w:val="both"/>
        <w:rPr>
          <w:sz w:val="22"/>
          <w:szCs w:val="22"/>
          <w:lang w:val="uk-UA"/>
        </w:rPr>
      </w:pPr>
    </w:p>
    <w:p w14:paraId="77BCCFF5" w14:textId="77777777" w:rsidR="00E12A1E" w:rsidRPr="00071FCD" w:rsidRDefault="00E12A1E" w:rsidP="00071FCD">
      <w:pPr>
        <w:widowControl w:val="0"/>
        <w:autoSpaceDE/>
        <w:autoSpaceDN/>
        <w:adjustRightInd/>
        <w:ind w:firstLine="284"/>
        <w:jc w:val="both"/>
        <w:rPr>
          <w:sz w:val="22"/>
          <w:szCs w:val="22"/>
          <w:lang w:val="uk-UA"/>
        </w:rPr>
      </w:pPr>
      <w:r w:rsidRPr="00071FCD">
        <w:rPr>
          <w:sz w:val="22"/>
          <w:szCs w:val="22"/>
          <w:lang w:val="uk-UA"/>
        </w:rPr>
        <w:t>На основі отриманих потенціалів ми розрахували перерізи підбар</w:t>
      </w:r>
      <w:r w:rsidR="002A481E" w:rsidRPr="00071FCD">
        <w:rPr>
          <w:sz w:val="22"/>
          <w:szCs w:val="22"/>
          <w:lang w:val="uk-UA"/>
        </w:rPr>
        <w:t>’</w:t>
      </w:r>
      <w:r w:rsidRPr="00071FCD">
        <w:rPr>
          <w:sz w:val="22"/>
          <w:szCs w:val="22"/>
          <w:lang w:val="uk-UA"/>
        </w:rPr>
        <w:t xml:space="preserve">єрного злиття для систем </w:t>
      </w:r>
      <w:r w:rsidRPr="00071FCD">
        <w:rPr>
          <w:sz w:val="22"/>
          <w:szCs w:val="22"/>
          <w:vertAlign w:val="superscript"/>
          <w:lang w:val="uk-UA"/>
        </w:rPr>
        <w:t>16</w:t>
      </w:r>
      <w:r w:rsidRPr="00071FCD">
        <w:rPr>
          <w:sz w:val="22"/>
          <w:szCs w:val="22"/>
          <w:lang w:val="uk-UA"/>
        </w:rPr>
        <w:t>O</w:t>
      </w:r>
      <w:r w:rsidR="002A481E" w:rsidRPr="00071FCD">
        <w:rPr>
          <w:sz w:val="22"/>
          <w:szCs w:val="22"/>
          <w:lang w:val="uk-UA"/>
        </w:rPr>
        <w:t> </w:t>
      </w:r>
      <w:r w:rsidRPr="00071FCD">
        <w:rPr>
          <w:sz w:val="22"/>
          <w:szCs w:val="22"/>
          <w:lang w:val="uk-UA"/>
        </w:rPr>
        <w:t>+</w:t>
      </w:r>
      <w:r w:rsidR="002A481E" w:rsidRPr="00071FCD">
        <w:rPr>
          <w:sz w:val="22"/>
          <w:szCs w:val="22"/>
          <w:lang w:val="uk-UA"/>
        </w:rPr>
        <w:t> </w:t>
      </w:r>
      <w:r w:rsidRPr="00071FCD">
        <w:rPr>
          <w:sz w:val="22"/>
          <w:szCs w:val="22"/>
          <w:vertAlign w:val="superscript"/>
          <w:lang w:val="uk-UA"/>
        </w:rPr>
        <w:t>208</w:t>
      </w:r>
      <w:r w:rsidRPr="00071FCD">
        <w:rPr>
          <w:sz w:val="22"/>
          <w:szCs w:val="22"/>
          <w:lang w:val="uk-UA"/>
        </w:rPr>
        <w:t xml:space="preserve">Pb та </w:t>
      </w:r>
      <w:r w:rsidRPr="00071FCD">
        <w:rPr>
          <w:sz w:val="22"/>
          <w:szCs w:val="22"/>
          <w:vertAlign w:val="superscript"/>
          <w:lang w:val="uk-UA"/>
        </w:rPr>
        <w:t>12</w:t>
      </w:r>
      <w:r w:rsidRPr="00071FCD">
        <w:rPr>
          <w:sz w:val="22"/>
          <w:szCs w:val="22"/>
          <w:lang w:val="uk-UA"/>
        </w:rPr>
        <w:t>C</w:t>
      </w:r>
      <w:r w:rsidR="002A481E" w:rsidRPr="00071FCD">
        <w:rPr>
          <w:sz w:val="22"/>
          <w:szCs w:val="22"/>
          <w:lang w:val="uk-UA"/>
        </w:rPr>
        <w:t> </w:t>
      </w:r>
      <w:r w:rsidRPr="00071FCD">
        <w:rPr>
          <w:sz w:val="22"/>
          <w:szCs w:val="22"/>
          <w:lang w:val="uk-UA"/>
        </w:rPr>
        <w:t>+</w:t>
      </w:r>
      <w:r w:rsidR="002A481E" w:rsidRPr="00071FCD">
        <w:rPr>
          <w:sz w:val="22"/>
          <w:szCs w:val="22"/>
          <w:lang w:val="uk-UA"/>
        </w:rPr>
        <w:t> </w:t>
      </w:r>
      <w:r w:rsidRPr="00071FCD">
        <w:rPr>
          <w:sz w:val="22"/>
          <w:szCs w:val="22"/>
          <w:vertAlign w:val="superscript"/>
          <w:lang w:val="uk-UA"/>
        </w:rPr>
        <w:t>208</w:t>
      </w:r>
      <w:r w:rsidRPr="00071FCD">
        <w:rPr>
          <w:sz w:val="22"/>
          <w:szCs w:val="22"/>
          <w:lang w:val="uk-UA"/>
        </w:rPr>
        <w:t>Pb, які наведено на рис</w:t>
      </w:r>
      <w:r w:rsidR="002A481E" w:rsidRPr="00071FCD">
        <w:rPr>
          <w:sz w:val="22"/>
          <w:szCs w:val="22"/>
          <w:lang w:val="uk-UA"/>
        </w:rPr>
        <w:t>.</w:t>
      </w:r>
      <w:r w:rsidRPr="00071FCD">
        <w:rPr>
          <w:sz w:val="22"/>
          <w:szCs w:val="22"/>
          <w:lang w:val="uk-UA"/>
        </w:rPr>
        <w:t xml:space="preserve"> 3 та 4</w:t>
      </w:r>
      <w:r w:rsidRPr="00071FCD">
        <w:rPr>
          <w:color w:val="FF0000"/>
          <w:sz w:val="22"/>
          <w:szCs w:val="22"/>
          <w:lang w:val="uk-UA"/>
        </w:rPr>
        <w:t>.</w:t>
      </w:r>
      <w:r w:rsidRPr="00071FCD">
        <w:rPr>
          <w:sz w:val="22"/>
          <w:szCs w:val="22"/>
          <w:lang w:val="uk-UA"/>
        </w:rPr>
        <w:t xml:space="preserve"> Одержані нами </w:t>
      </w:r>
      <w:r w:rsidRPr="00071FCD">
        <w:rPr>
          <w:color w:val="000000"/>
          <w:sz w:val="22"/>
          <w:szCs w:val="22"/>
          <w:lang w:val="uk-UA"/>
        </w:rPr>
        <w:t>перерізи добре узгоджуються з</w:t>
      </w:r>
      <w:r w:rsidRPr="00071FCD">
        <w:rPr>
          <w:sz w:val="22"/>
          <w:szCs w:val="22"/>
          <w:lang w:val="uk-UA"/>
        </w:rPr>
        <w:t xml:space="preserve"> останніми експериментальними даними. Для розрахунку перерізів підбар</w:t>
      </w:r>
      <w:r w:rsidR="002A481E" w:rsidRPr="00071FCD">
        <w:rPr>
          <w:sz w:val="22"/>
          <w:szCs w:val="22"/>
          <w:lang w:val="uk-UA"/>
        </w:rPr>
        <w:t>’</w:t>
      </w:r>
      <w:r w:rsidRPr="00071FCD">
        <w:rPr>
          <w:sz w:val="22"/>
          <w:szCs w:val="22"/>
          <w:lang w:val="uk-UA"/>
        </w:rPr>
        <w:t xml:space="preserve">єрного злиття використовувався відомий програмний код CCFULL. </w:t>
      </w:r>
    </w:p>
    <w:p w14:paraId="2182E82F" w14:textId="77777777" w:rsidR="00E12A1E" w:rsidRPr="00071FCD" w:rsidRDefault="00E12A1E" w:rsidP="00071FCD">
      <w:pPr>
        <w:widowControl w:val="0"/>
        <w:autoSpaceDE/>
        <w:autoSpaceDN/>
        <w:adjustRightInd/>
        <w:ind w:firstLine="284"/>
        <w:jc w:val="both"/>
        <w:rPr>
          <w:rFonts w:eastAsia="TimesNewRoman"/>
          <w:color w:val="000000"/>
          <w:sz w:val="22"/>
          <w:szCs w:val="22"/>
          <w:lang w:val="uk-UA"/>
        </w:rPr>
      </w:pPr>
      <w:r w:rsidRPr="00071FCD">
        <w:rPr>
          <w:rFonts w:eastAsia="TimesNewRoman"/>
          <w:color w:val="000000"/>
          <w:sz w:val="22"/>
          <w:szCs w:val="22"/>
          <w:lang w:val="uk-UA"/>
        </w:rPr>
        <w:t xml:space="preserve">Також було розраховано перерізи пружного розсіяння для систем </w:t>
      </w:r>
      <w:r w:rsidRPr="00071FCD">
        <w:rPr>
          <w:color w:val="000000"/>
          <w:sz w:val="22"/>
          <w:szCs w:val="22"/>
          <w:vertAlign w:val="superscript"/>
          <w:lang w:val="uk-UA"/>
        </w:rPr>
        <w:t>16</w:t>
      </w:r>
      <w:r w:rsidRPr="00071FCD">
        <w:rPr>
          <w:color w:val="000000"/>
          <w:sz w:val="22"/>
          <w:szCs w:val="22"/>
          <w:lang w:val="uk-UA"/>
        </w:rPr>
        <w:t>O</w:t>
      </w:r>
      <w:r w:rsidR="002A481E" w:rsidRPr="00071FCD">
        <w:rPr>
          <w:color w:val="000000"/>
          <w:sz w:val="22"/>
          <w:szCs w:val="22"/>
          <w:lang w:val="uk-UA"/>
        </w:rPr>
        <w:t> </w:t>
      </w:r>
      <w:r w:rsidRPr="00071FCD">
        <w:rPr>
          <w:color w:val="000000"/>
          <w:sz w:val="22"/>
          <w:szCs w:val="22"/>
          <w:lang w:val="uk-UA"/>
        </w:rPr>
        <w:t>+</w:t>
      </w:r>
      <w:r w:rsidR="002A481E" w:rsidRPr="00071FCD">
        <w:rPr>
          <w:color w:val="000000"/>
          <w:sz w:val="22"/>
          <w:szCs w:val="22"/>
          <w:lang w:val="uk-UA"/>
        </w:rPr>
        <w:t> </w:t>
      </w:r>
      <w:r w:rsidRPr="00071FCD">
        <w:rPr>
          <w:color w:val="000000"/>
          <w:sz w:val="22"/>
          <w:szCs w:val="22"/>
          <w:vertAlign w:val="superscript"/>
          <w:lang w:val="uk-UA"/>
        </w:rPr>
        <w:t>208</w:t>
      </w:r>
      <w:r w:rsidRPr="00071FCD">
        <w:rPr>
          <w:color w:val="000000"/>
          <w:sz w:val="22"/>
          <w:szCs w:val="22"/>
          <w:lang w:val="uk-UA"/>
        </w:rPr>
        <w:t xml:space="preserve">Pb та </w:t>
      </w:r>
      <w:r w:rsidRPr="00071FCD">
        <w:rPr>
          <w:color w:val="000000"/>
          <w:sz w:val="22"/>
          <w:szCs w:val="22"/>
          <w:vertAlign w:val="superscript"/>
          <w:lang w:val="uk-UA"/>
        </w:rPr>
        <w:t>12</w:t>
      </w:r>
      <w:r w:rsidRPr="00071FCD">
        <w:rPr>
          <w:color w:val="000000"/>
          <w:sz w:val="22"/>
          <w:szCs w:val="22"/>
          <w:lang w:val="uk-UA"/>
        </w:rPr>
        <w:t>C</w:t>
      </w:r>
      <w:r w:rsidR="002A481E" w:rsidRPr="00071FCD">
        <w:rPr>
          <w:color w:val="000000"/>
          <w:sz w:val="22"/>
          <w:szCs w:val="22"/>
          <w:lang w:val="uk-UA"/>
        </w:rPr>
        <w:t> </w:t>
      </w:r>
      <w:r w:rsidRPr="00071FCD">
        <w:rPr>
          <w:color w:val="000000"/>
          <w:sz w:val="22"/>
          <w:szCs w:val="22"/>
          <w:lang w:val="uk-UA"/>
        </w:rPr>
        <w:t>+</w:t>
      </w:r>
      <w:r w:rsidR="002A481E" w:rsidRPr="00071FCD">
        <w:rPr>
          <w:color w:val="000000"/>
          <w:sz w:val="22"/>
          <w:szCs w:val="22"/>
          <w:lang w:val="uk-UA"/>
        </w:rPr>
        <w:t> </w:t>
      </w:r>
      <w:r w:rsidRPr="00071FCD">
        <w:rPr>
          <w:color w:val="000000"/>
          <w:sz w:val="22"/>
          <w:szCs w:val="22"/>
          <w:vertAlign w:val="superscript"/>
          <w:lang w:val="uk-UA"/>
        </w:rPr>
        <w:t>208</w:t>
      </w:r>
      <w:r w:rsidRPr="00071FCD">
        <w:rPr>
          <w:color w:val="000000"/>
          <w:sz w:val="22"/>
          <w:szCs w:val="22"/>
          <w:lang w:val="uk-UA"/>
        </w:rPr>
        <w:t xml:space="preserve">Pb. </w:t>
      </w:r>
      <w:r w:rsidRPr="00071FCD">
        <w:rPr>
          <w:rFonts w:eastAsia="TimesNewRoman"/>
          <w:color w:val="000000"/>
          <w:sz w:val="22"/>
          <w:szCs w:val="22"/>
          <w:lang w:val="uk-UA"/>
        </w:rPr>
        <w:t xml:space="preserve">Розрахунки проведено в рамках оптичної моделі, використовуючи отримані потенціали ядерно-ядерної взаємодії. Одержані перерізи пружного розсіяння для системи </w:t>
      </w:r>
      <w:r w:rsidRPr="00071FCD">
        <w:rPr>
          <w:color w:val="000000"/>
          <w:sz w:val="22"/>
          <w:szCs w:val="22"/>
          <w:vertAlign w:val="superscript"/>
          <w:lang w:val="uk-UA"/>
        </w:rPr>
        <w:t>16</w:t>
      </w:r>
      <w:r w:rsidRPr="00071FCD">
        <w:rPr>
          <w:color w:val="000000"/>
          <w:sz w:val="22"/>
          <w:szCs w:val="22"/>
          <w:lang w:val="uk-UA"/>
        </w:rPr>
        <w:t>O</w:t>
      </w:r>
      <w:r w:rsidR="002A481E" w:rsidRPr="00071FCD">
        <w:rPr>
          <w:color w:val="000000"/>
          <w:sz w:val="22"/>
          <w:szCs w:val="22"/>
          <w:lang w:val="uk-UA"/>
        </w:rPr>
        <w:t> </w:t>
      </w:r>
      <w:r w:rsidRPr="00071FCD">
        <w:rPr>
          <w:color w:val="000000"/>
          <w:sz w:val="22"/>
          <w:szCs w:val="22"/>
          <w:lang w:val="uk-UA"/>
        </w:rPr>
        <w:t>+</w:t>
      </w:r>
      <w:r w:rsidR="002A481E" w:rsidRPr="00071FCD">
        <w:rPr>
          <w:color w:val="000000"/>
          <w:sz w:val="22"/>
          <w:szCs w:val="22"/>
          <w:lang w:val="uk-UA"/>
        </w:rPr>
        <w:t> </w:t>
      </w:r>
      <w:r w:rsidRPr="00071FCD">
        <w:rPr>
          <w:color w:val="000000"/>
          <w:sz w:val="22"/>
          <w:szCs w:val="22"/>
          <w:vertAlign w:val="superscript"/>
          <w:lang w:val="uk-UA"/>
        </w:rPr>
        <w:t>208</w:t>
      </w:r>
      <w:r w:rsidRPr="00071FCD">
        <w:rPr>
          <w:color w:val="000000"/>
          <w:sz w:val="22"/>
          <w:szCs w:val="22"/>
          <w:lang w:val="uk-UA"/>
        </w:rPr>
        <w:t xml:space="preserve">Pb </w:t>
      </w:r>
      <w:r w:rsidRPr="00071FCD">
        <w:rPr>
          <w:rFonts w:eastAsia="TimesNewRoman"/>
          <w:color w:val="000000"/>
          <w:sz w:val="22"/>
          <w:szCs w:val="22"/>
          <w:lang w:val="uk-UA"/>
        </w:rPr>
        <w:t xml:space="preserve">за енергії пучка </w:t>
      </w:r>
      <w:r w:rsidRPr="00071FCD">
        <w:rPr>
          <w:rFonts w:eastAsia="TimesNewRoman"/>
          <w:i/>
          <w:color w:val="000000"/>
          <w:sz w:val="22"/>
          <w:szCs w:val="22"/>
          <w:lang w:val="uk-UA"/>
        </w:rPr>
        <w:t>E</w:t>
      </w:r>
      <w:r w:rsidRPr="00071FCD">
        <w:rPr>
          <w:rFonts w:eastAsia="TimesNewRoman"/>
          <w:i/>
          <w:color w:val="000000"/>
          <w:sz w:val="22"/>
          <w:szCs w:val="22"/>
          <w:vertAlign w:val="subscript"/>
          <w:lang w:val="uk-UA"/>
        </w:rPr>
        <w:t>lab</w:t>
      </w:r>
      <w:r w:rsidRPr="00071FCD">
        <w:rPr>
          <w:rFonts w:eastAsia="TimesNewRoman"/>
          <w:color w:val="000000"/>
          <w:sz w:val="22"/>
          <w:szCs w:val="22"/>
          <w:lang w:val="uk-UA"/>
        </w:rPr>
        <w:t xml:space="preserve"> = </w:t>
      </w:r>
      <w:r w:rsidR="002A481E" w:rsidRPr="00071FCD">
        <w:rPr>
          <w:rFonts w:eastAsia="TimesNewRoman"/>
          <w:color w:val="000000"/>
          <w:sz w:val="22"/>
          <w:szCs w:val="22"/>
          <w:lang w:val="uk-UA"/>
        </w:rPr>
        <w:t>= </w:t>
      </w:r>
      <w:r w:rsidRPr="00071FCD">
        <w:rPr>
          <w:rFonts w:eastAsia="TimesNewRoman"/>
          <w:color w:val="000000"/>
          <w:sz w:val="22"/>
          <w:szCs w:val="22"/>
          <w:lang w:val="uk-UA"/>
        </w:rPr>
        <w:t>95</w:t>
      </w:r>
      <w:r w:rsidR="002A481E" w:rsidRPr="00071FCD">
        <w:rPr>
          <w:rFonts w:eastAsia="TimesNewRoman"/>
          <w:color w:val="000000"/>
          <w:sz w:val="22"/>
          <w:szCs w:val="22"/>
          <w:lang w:val="uk-UA"/>
        </w:rPr>
        <w:t> </w:t>
      </w:r>
      <w:r w:rsidRPr="00071FCD">
        <w:rPr>
          <w:rFonts w:eastAsia="TimesNewRoman"/>
          <w:color w:val="000000"/>
          <w:sz w:val="22"/>
          <w:szCs w:val="22"/>
          <w:lang w:val="uk-UA"/>
        </w:rPr>
        <w:t xml:space="preserve">MеВ та для системи </w:t>
      </w:r>
      <w:r w:rsidRPr="00071FCD">
        <w:rPr>
          <w:color w:val="000000"/>
          <w:sz w:val="22"/>
          <w:szCs w:val="22"/>
          <w:vertAlign w:val="superscript"/>
          <w:lang w:val="uk-UA"/>
        </w:rPr>
        <w:t>12</w:t>
      </w:r>
      <w:r w:rsidRPr="00071FCD">
        <w:rPr>
          <w:color w:val="000000"/>
          <w:sz w:val="22"/>
          <w:szCs w:val="22"/>
          <w:lang w:val="uk-UA"/>
        </w:rPr>
        <w:t>C</w:t>
      </w:r>
      <w:r w:rsidR="002A481E" w:rsidRPr="00071FCD">
        <w:rPr>
          <w:color w:val="000000"/>
          <w:sz w:val="22"/>
          <w:szCs w:val="22"/>
          <w:lang w:val="uk-UA"/>
        </w:rPr>
        <w:t> </w:t>
      </w:r>
      <w:r w:rsidRPr="00071FCD">
        <w:rPr>
          <w:color w:val="000000"/>
          <w:sz w:val="22"/>
          <w:szCs w:val="22"/>
          <w:lang w:val="uk-UA"/>
        </w:rPr>
        <w:t>+</w:t>
      </w:r>
      <w:r w:rsidR="002A481E" w:rsidRPr="00071FCD">
        <w:rPr>
          <w:color w:val="000000"/>
          <w:sz w:val="22"/>
          <w:szCs w:val="22"/>
          <w:lang w:val="uk-UA"/>
        </w:rPr>
        <w:t> </w:t>
      </w:r>
      <w:r w:rsidRPr="00071FCD">
        <w:rPr>
          <w:color w:val="000000"/>
          <w:sz w:val="22"/>
          <w:szCs w:val="22"/>
          <w:vertAlign w:val="superscript"/>
          <w:lang w:val="uk-UA"/>
        </w:rPr>
        <w:t>208</w:t>
      </w:r>
      <w:r w:rsidRPr="00071FCD">
        <w:rPr>
          <w:color w:val="000000"/>
          <w:sz w:val="22"/>
          <w:szCs w:val="22"/>
          <w:lang w:val="uk-UA"/>
        </w:rPr>
        <w:t>Pb</w:t>
      </w:r>
      <w:r w:rsidRPr="00071FCD">
        <w:rPr>
          <w:rFonts w:eastAsia="TimesNewRoman"/>
          <w:color w:val="000000"/>
          <w:sz w:val="22"/>
          <w:szCs w:val="22"/>
          <w:lang w:val="uk-UA"/>
        </w:rPr>
        <w:t xml:space="preserve"> за енергії пучка </w:t>
      </w:r>
      <w:r w:rsidRPr="00071FCD">
        <w:rPr>
          <w:rFonts w:eastAsia="TimesNewRoman"/>
          <w:i/>
          <w:color w:val="000000"/>
          <w:sz w:val="22"/>
          <w:szCs w:val="22"/>
          <w:lang w:val="uk-UA"/>
        </w:rPr>
        <w:t>E</w:t>
      </w:r>
      <w:r w:rsidRPr="00071FCD">
        <w:rPr>
          <w:rFonts w:eastAsia="TimesNewRoman"/>
          <w:i/>
          <w:color w:val="000000"/>
          <w:sz w:val="22"/>
          <w:szCs w:val="22"/>
          <w:vertAlign w:val="subscript"/>
          <w:lang w:val="uk-UA"/>
        </w:rPr>
        <w:t>lab</w:t>
      </w:r>
      <w:r w:rsidRPr="00071FCD">
        <w:rPr>
          <w:rFonts w:eastAsia="TimesNewRoman"/>
          <w:color w:val="000000"/>
          <w:sz w:val="22"/>
          <w:szCs w:val="22"/>
          <w:lang w:val="uk-UA"/>
        </w:rPr>
        <w:t xml:space="preserve"> = 75,7 MеВ представлено на рис</w:t>
      </w:r>
      <w:r w:rsidR="002A481E" w:rsidRPr="00071FCD">
        <w:rPr>
          <w:rFonts w:eastAsia="TimesNewRoman"/>
          <w:color w:val="000000"/>
          <w:sz w:val="22"/>
          <w:szCs w:val="22"/>
          <w:lang w:val="uk-UA"/>
        </w:rPr>
        <w:t>.</w:t>
      </w:r>
      <w:r w:rsidRPr="00071FCD">
        <w:rPr>
          <w:rFonts w:eastAsia="TimesNewRoman"/>
          <w:color w:val="000000"/>
          <w:sz w:val="22"/>
          <w:szCs w:val="22"/>
          <w:lang w:val="uk-UA"/>
        </w:rPr>
        <w:t xml:space="preserve"> 5 та 6. Як бачимо з рисунків, знайдені нами перерізи пружного розсіяння гарно описують наявні експеримен</w:t>
      </w:r>
      <w:r w:rsidR="002A481E" w:rsidRPr="00071FCD">
        <w:rPr>
          <w:rFonts w:eastAsia="TimesNewRoman"/>
          <w:color w:val="000000"/>
          <w:sz w:val="22"/>
          <w:szCs w:val="22"/>
          <w:lang w:val="uk-UA"/>
        </w:rPr>
        <w:softHyphen/>
      </w:r>
      <w:r w:rsidRPr="00071FCD">
        <w:rPr>
          <w:rFonts w:eastAsia="TimesNewRoman"/>
          <w:color w:val="000000"/>
          <w:sz w:val="22"/>
          <w:szCs w:val="22"/>
          <w:lang w:val="uk-UA"/>
        </w:rPr>
        <w:t>тальні дані.</w:t>
      </w:r>
    </w:p>
    <w:p w14:paraId="3612286B" w14:textId="77777777" w:rsidR="00E12A1E" w:rsidRPr="00071FCD" w:rsidRDefault="00E12A1E" w:rsidP="00071FCD">
      <w:pPr>
        <w:widowControl w:val="0"/>
        <w:autoSpaceDE/>
        <w:autoSpaceDN/>
        <w:adjustRightInd/>
        <w:ind w:firstLine="284"/>
        <w:jc w:val="both"/>
        <w:rPr>
          <w:rFonts w:eastAsia="TimesNewRoman"/>
          <w:sz w:val="22"/>
          <w:szCs w:val="22"/>
          <w:lang w:val="uk-UA"/>
        </w:rPr>
      </w:pPr>
      <w:r w:rsidRPr="00071FCD">
        <w:rPr>
          <w:rFonts w:eastAsia="TimesNewRoman"/>
          <w:sz w:val="22"/>
          <w:szCs w:val="22"/>
          <w:lang w:val="uk-UA"/>
        </w:rPr>
        <w:t>Підкреслимо, що в рамках одного підходу ми змогли одночасно описати як перерізи підбар’єрного злиття, так і пружного розсіяння.</w:t>
      </w:r>
    </w:p>
    <w:p w14:paraId="71A56670" w14:textId="77777777" w:rsidR="00E12A1E" w:rsidRPr="00071FCD" w:rsidRDefault="00D4036E" w:rsidP="00071FCD">
      <w:pPr>
        <w:widowControl w:val="0"/>
        <w:autoSpaceDE/>
        <w:autoSpaceDN/>
        <w:adjustRightInd/>
        <w:jc w:val="center"/>
        <w:rPr>
          <w:sz w:val="22"/>
          <w:szCs w:val="22"/>
          <w:lang w:val="uk-UA"/>
        </w:rPr>
      </w:pPr>
      <w:r w:rsidRPr="00071FCD">
        <w:rPr>
          <w:rFonts w:ascii="Calibri" w:hAnsi="Calibri"/>
          <w:sz w:val="22"/>
          <w:szCs w:val="22"/>
          <w:lang w:val="uk-UA"/>
        </w:rPr>
        <w:br w:type="page"/>
      </w:r>
    </w:p>
    <w:tbl>
      <w:tblPr>
        <w:tblW w:w="5000" w:type="pct"/>
        <w:tblLook w:val="04A0" w:firstRow="1" w:lastRow="0" w:firstColumn="1" w:lastColumn="0" w:noHBand="0" w:noVBand="1"/>
      </w:tblPr>
      <w:tblGrid>
        <w:gridCol w:w="4949"/>
        <w:gridCol w:w="4906"/>
      </w:tblGrid>
      <w:tr w:rsidR="00E12A1E" w:rsidRPr="00071FCD" w14:paraId="09CD858C" w14:textId="77777777" w:rsidTr="00387A21">
        <w:trPr>
          <w:trHeight w:val="3417"/>
        </w:trPr>
        <w:tc>
          <w:tcPr>
            <w:tcW w:w="2400" w:type="pct"/>
            <w:shd w:val="clear" w:color="auto" w:fill="auto"/>
          </w:tcPr>
          <w:p w14:paraId="7157C128" w14:textId="70740C64" w:rsidR="00E12A1E" w:rsidRPr="00071FCD" w:rsidRDefault="00F71CDB" w:rsidP="00071FCD">
            <w:pPr>
              <w:widowControl w:val="0"/>
              <w:autoSpaceDE/>
              <w:autoSpaceDN/>
              <w:adjustRightInd/>
              <w:jc w:val="center"/>
              <w:rPr>
                <w:sz w:val="22"/>
                <w:szCs w:val="22"/>
                <w:lang w:val="uk-UA"/>
              </w:rPr>
            </w:pPr>
            <w:r w:rsidRPr="00071FCD">
              <w:rPr>
                <w:noProof/>
                <w:sz w:val="22"/>
                <w:szCs w:val="22"/>
                <w:lang w:val="uk-UA"/>
              </w:rPr>
              <w:drawing>
                <wp:inline distT="0" distB="0" distL="0" distR="0" wp14:anchorId="2E212B46" wp14:editId="3358CB17">
                  <wp:extent cx="3002280" cy="2233930"/>
                  <wp:effectExtent l="0" t="0" r="0" b="0"/>
                  <wp:docPr id="3" name="Picture 3"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2280" cy="2233930"/>
                          </a:xfrm>
                          <a:prstGeom prst="rect">
                            <a:avLst/>
                          </a:prstGeom>
                          <a:noFill/>
                          <a:ln>
                            <a:noFill/>
                          </a:ln>
                        </pic:spPr>
                      </pic:pic>
                    </a:graphicData>
                  </a:graphic>
                </wp:inline>
              </w:drawing>
            </w:r>
          </w:p>
        </w:tc>
        <w:tc>
          <w:tcPr>
            <w:tcW w:w="2600" w:type="pct"/>
            <w:shd w:val="clear" w:color="auto" w:fill="auto"/>
          </w:tcPr>
          <w:p w14:paraId="4E9A2014" w14:textId="40483D32" w:rsidR="00E12A1E" w:rsidRPr="00071FCD" w:rsidRDefault="00F71CDB" w:rsidP="00071FCD">
            <w:pPr>
              <w:widowControl w:val="0"/>
              <w:autoSpaceDE/>
              <w:autoSpaceDN/>
              <w:adjustRightInd/>
              <w:jc w:val="center"/>
              <w:rPr>
                <w:sz w:val="22"/>
                <w:szCs w:val="22"/>
                <w:lang w:val="uk-UA"/>
              </w:rPr>
            </w:pPr>
            <w:r w:rsidRPr="00071FCD">
              <w:rPr>
                <w:noProof/>
                <w:sz w:val="22"/>
                <w:szCs w:val="22"/>
                <w:lang w:val="uk-UA"/>
              </w:rPr>
              <w:drawing>
                <wp:inline distT="0" distB="0" distL="0" distR="0" wp14:anchorId="4985EA48" wp14:editId="0D4C398B">
                  <wp:extent cx="2967355" cy="2251710"/>
                  <wp:effectExtent l="0" t="0" r="0" b="0"/>
                  <wp:docPr id="4" name="Picture 4"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7355" cy="2251710"/>
                          </a:xfrm>
                          <a:prstGeom prst="rect">
                            <a:avLst/>
                          </a:prstGeom>
                          <a:noFill/>
                          <a:ln>
                            <a:noFill/>
                          </a:ln>
                        </pic:spPr>
                      </pic:pic>
                    </a:graphicData>
                  </a:graphic>
                </wp:inline>
              </w:drawing>
            </w:r>
          </w:p>
        </w:tc>
      </w:tr>
      <w:tr w:rsidR="00E12A1E" w:rsidRPr="00071FCD" w14:paraId="732E4978" w14:textId="77777777" w:rsidTr="00143133">
        <w:tc>
          <w:tcPr>
            <w:tcW w:w="2400" w:type="pct"/>
            <w:shd w:val="clear" w:color="auto" w:fill="auto"/>
            <w:tcMar>
              <w:left w:w="142" w:type="dxa"/>
              <w:right w:w="142" w:type="dxa"/>
            </w:tcMar>
          </w:tcPr>
          <w:p w14:paraId="2C88FD04" w14:textId="77777777" w:rsidR="00387A21" w:rsidRPr="00071FCD" w:rsidRDefault="00387A21" w:rsidP="00071FCD">
            <w:pPr>
              <w:widowControl w:val="0"/>
              <w:autoSpaceDE/>
              <w:autoSpaceDN/>
              <w:adjustRightInd/>
              <w:jc w:val="both"/>
              <w:rPr>
                <w:rFonts w:eastAsia="F88"/>
                <w:sz w:val="22"/>
                <w:szCs w:val="22"/>
                <w:lang w:val="uk-UA"/>
              </w:rPr>
            </w:pPr>
          </w:p>
          <w:p w14:paraId="1E5F3BED" w14:textId="77777777" w:rsidR="00E12A1E" w:rsidRPr="00071FCD" w:rsidRDefault="00E12A1E" w:rsidP="00071FCD">
            <w:pPr>
              <w:widowControl w:val="0"/>
              <w:autoSpaceDE/>
              <w:autoSpaceDN/>
              <w:adjustRightInd/>
              <w:jc w:val="both"/>
              <w:rPr>
                <w:sz w:val="22"/>
                <w:szCs w:val="22"/>
                <w:lang w:val="uk-UA"/>
              </w:rPr>
            </w:pPr>
            <w:r w:rsidRPr="00071FCD">
              <w:rPr>
                <w:rFonts w:eastAsia="F88"/>
                <w:sz w:val="22"/>
                <w:szCs w:val="22"/>
                <w:lang w:val="uk-UA"/>
              </w:rPr>
              <w:t>Рис.</w:t>
            </w:r>
            <w:r w:rsidR="008C531E" w:rsidRPr="00071FCD">
              <w:rPr>
                <w:rFonts w:eastAsia="F88"/>
                <w:sz w:val="22"/>
                <w:szCs w:val="22"/>
                <w:lang w:val="uk-UA"/>
              </w:rPr>
              <w:t> </w:t>
            </w:r>
            <w:r w:rsidRPr="00071FCD">
              <w:rPr>
                <w:rFonts w:eastAsia="F88"/>
                <w:sz w:val="22"/>
                <w:szCs w:val="22"/>
                <w:lang w:val="uk-UA"/>
              </w:rPr>
              <w:t xml:space="preserve">3. </w:t>
            </w:r>
            <w:r w:rsidRPr="00071FCD">
              <w:rPr>
                <w:rFonts w:eastAsia="F29"/>
                <w:sz w:val="22"/>
                <w:szCs w:val="22"/>
                <w:lang w:val="uk-UA"/>
              </w:rPr>
              <w:t xml:space="preserve">Поперечний переріз підбар’єрного злиття, отриманий на основі потенціалу взаємодії </w:t>
            </w:r>
            <w:r w:rsidR="008C531E" w:rsidRPr="00071FCD">
              <w:rPr>
                <w:rFonts w:eastAsia="F29"/>
                <w:sz w:val="22"/>
                <w:szCs w:val="22"/>
                <w:lang w:val="uk-UA"/>
              </w:rPr>
              <w:t>м</w:t>
            </w:r>
            <w:r w:rsidRPr="00071FCD">
              <w:rPr>
                <w:rFonts w:eastAsia="F29"/>
                <w:sz w:val="22"/>
                <w:szCs w:val="22"/>
                <w:lang w:val="uk-UA"/>
              </w:rPr>
              <w:t>оди</w:t>
            </w:r>
            <w:r w:rsidR="008C531E" w:rsidRPr="00071FCD">
              <w:rPr>
                <w:rFonts w:eastAsia="F29"/>
                <w:sz w:val="22"/>
                <w:szCs w:val="22"/>
                <w:lang w:val="uk-UA"/>
              </w:rPr>
              <w:t>-</w:t>
            </w:r>
            <w:r w:rsidR="008C531E" w:rsidRPr="00071FCD">
              <w:rPr>
                <w:rFonts w:eastAsia="F29"/>
                <w:sz w:val="22"/>
                <w:szCs w:val="22"/>
                <w:lang w:val="uk-UA"/>
              </w:rPr>
              <w:br w:type="textWrapping" w:clear="all"/>
            </w:r>
            <w:r w:rsidR="001C43E8" w:rsidRPr="00071FCD">
              <w:rPr>
                <w:rFonts w:eastAsia="F29"/>
                <w:sz w:val="22"/>
                <w:szCs w:val="22"/>
                <w:lang w:val="uk-UA"/>
              </w:rPr>
              <w:t>ф</w:t>
            </w:r>
            <w:r w:rsidRPr="00071FCD">
              <w:rPr>
                <w:rFonts w:eastAsia="F29"/>
                <w:sz w:val="22"/>
                <w:szCs w:val="22"/>
                <w:lang w:val="uk-UA"/>
              </w:rPr>
              <w:t>ікованого підходу Томаса</w:t>
            </w:r>
            <w:r w:rsidR="00C63993" w:rsidRPr="00071FCD">
              <w:rPr>
                <w:rFonts w:eastAsia="F29"/>
                <w:sz w:val="22"/>
                <w:szCs w:val="22"/>
                <w:lang w:val="uk-UA"/>
              </w:rPr>
              <w:t> </w:t>
            </w:r>
            <w:r w:rsidRPr="00071FCD">
              <w:rPr>
                <w:rFonts w:eastAsia="F29"/>
                <w:sz w:val="22"/>
                <w:szCs w:val="22"/>
                <w:lang w:val="uk-UA"/>
              </w:rPr>
              <w:t>-</w:t>
            </w:r>
            <w:r w:rsidR="00C63993" w:rsidRPr="00071FCD">
              <w:rPr>
                <w:rFonts w:eastAsia="F29"/>
                <w:sz w:val="22"/>
                <w:szCs w:val="22"/>
                <w:lang w:val="uk-UA"/>
              </w:rPr>
              <w:t> </w:t>
            </w:r>
            <w:r w:rsidRPr="00071FCD">
              <w:rPr>
                <w:rFonts w:eastAsia="F29"/>
                <w:sz w:val="22"/>
                <w:szCs w:val="22"/>
                <w:lang w:val="uk-UA"/>
              </w:rPr>
              <w:t>Фермі для системи</w:t>
            </w:r>
            <w:r w:rsidR="008C531E" w:rsidRPr="00071FCD">
              <w:rPr>
                <w:rFonts w:eastAsia="F29"/>
                <w:sz w:val="22"/>
                <w:szCs w:val="22"/>
                <w:lang w:val="uk-UA"/>
              </w:rPr>
              <w:t xml:space="preserve"> </w:t>
            </w:r>
            <w:r w:rsidR="008C531E" w:rsidRPr="00071FCD">
              <w:rPr>
                <w:rFonts w:eastAsia="F29"/>
                <w:sz w:val="22"/>
                <w:szCs w:val="22"/>
                <w:lang w:val="uk-UA"/>
              </w:rPr>
              <w:br w:type="textWrapping" w:clear="all"/>
            </w:r>
            <w:r w:rsidRPr="00071FCD">
              <w:rPr>
                <w:rFonts w:eastAsia="F88"/>
                <w:sz w:val="22"/>
                <w:szCs w:val="22"/>
                <w:vertAlign w:val="superscript"/>
                <w:lang w:val="uk-UA"/>
              </w:rPr>
              <w:t>16</w:t>
            </w:r>
            <w:r w:rsidRPr="00071FCD">
              <w:rPr>
                <w:rFonts w:eastAsia="F29"/>
                <w:sz w:val="22"/>
                <w:szCs w:val="22"/>
                <w:lang w:val="uk-UA"/>
              </w:rPr>
              <w:t>O</w:t>
            </w:r>
            <w:r w:rsidR="00063277" w:rsidRPr="00071FCD">
              <w:rPr>
                <w:rFonts w:eastAsia="F29"/>
                <w:sz w:val="22"/>
                <w:szCs w:val="22"/>
                <w:lang w:val="uk-UA"/>
              </w:rPr>
              <w:t xml:space="preserve"> </w:t>
            </w:r>
            <w:r w:rsidRPr="00071FCD">
              <w:rPr>
                <w:rFonts w:eastAsia="F29"/>
                <w:sz w:val="22"/>
                <w:szCs w:val="22"/>
                <w:lang w:val="uk-UA"/>
              </w:rPr>
              <w:t>+</w:t>
            </w:r>
            <w:r w:rsidR="00063277" w:rsidRPr="00071FCD">
              <w:rPr>
                <w:rFonts w:eastAsia="F29"/>
                <w:sz w:val="22"/>
                <w:szCs w:val="22"/>
                <w:lang w:val="uk-UA"/>
              </w:rPr>
              <w:t xml:space="preserve"> </w:t>
            </w:r>
            <w:r w:rsidRPr="00071FCD">
              <w:rPr>
                <w:rFonts w:eastAsia="F88"/>
                <w:sz w:val="22"/>
                <w:szCs w:val="22"/>
                <w:vertAlign w:val="superscript"/>
                <w:lang w:val="uk-UA"/>
              </w:rPr>
              <w:t>208</w:t>
            </w:r>
            <w:r w:rsidRPr="00071FCD">
              <w:rPr>
                <w:rFonts w:eastAsia="F29"/>
                <w:sz w:val="22"/>
                <w:szCs w:val="22"/>
                <w:lang w:val="uk-UA"/>
              </w:rPr>
              <w:t>Pb (ETF).</w:t>
            </w:r>
          </w:p>
        </w:tc>
        <w:tc>
          <w:tcPr>
            <w:tcW w:w="2600" w:type="pct"/>
            <w:shd w:val="clear" w:color="auto" w:fill="auto"/>
            <w:tcMar>
              <w:left w:w="142" w:type="dxa"/>
              <w:right w:w="142" w:type="dxa"/>
            </w:tcMar>
          </w:tcPr>
          <w:p w14:paraId="468AB2C9" w14:textId="77777777" w:rsidR="00387A21" w:rsidRPr="00071FCD" w:rsidRDefault="00387A21" w:rsidP="00071FCD">
            <w:pPr>
              <w:widowControl w:val="0"/>
              <w:autoSpaceDE/>
              <w:autoSpaceDN/>
              <w:adjustRightInd/>
              <w:jc w:val="both"/>
              <w:rPr>
                <w:rFonts w:eastAsia="F88"/>
                <w:sz w:val="22"/>
                <w:szCs w:val="22"/>
                <w:lang w:val="uk-UA"/>
              </w:rPr>
            </w:pPr>
          </w:p>
          <w:p w14:paraId="51F9B1FE" w14:textId="77777777" w:rsidR="00E12A1E" w:rsidRPr="00071FCD" w:rsidRDefault="00E12A1E" w:rsidP="00071FCD">
            <w:pPr>
              <w:widowControl w:val="0"/>
              <w:autoSpaceDE/>
              <w:autoSpaceDN/>
              <w:adjustRightInd/>
              <w:jc w:val="both"/>
              <w:rPr>
                <w:sz w:val="22"/>
                <w:szCs w:val="22"/>
                <w:lang w:val="uk-UA"/>
              </w:rPr>
            </w:pPr>
            <w:r w:rsidRPr="00071FCD">
              <w:rPr>
                <w:rFonts w:eastAsia="F88"/>
                <w:sz w:val="22"/>
                <w:szCs w:val="22"/>
                <w:lang w:val="uk-UA"/>
              </w:rPr>
              <w:t>Рис.</w:t>
            </w:r>
            <w:r w:rsidR="00063277" w:rsidRPr="00071FCD">
              <w:rPr>
                <w:rFonts w:eastAsia="F88"/>
                <w:sz w:val="22"/>
                <w:szCs w:val="22"/>
                <w:lang w:val="uk-UA"/>
              </w:rPr>
              <w:t> 4</w:t>
            </w:r>
            <w:r w:rsidRPr="00071FCD">
              <w:rPr>
                <w:rFonts w:eastAsia="F88"/>
                <w:sz w:val="22"/>
                <w:szCs w:val="22"/>
                <w:lang w:val="uk-UA"/>
              </w:rPr>
              <w:t xml:space="preserve">. </w:t>
            </w:r>
            <w:r w:rsidRPr="00071FCD">
              <w:rPr>
                <w:rFonts w:eastAsia="F29"/>
                <w:sz w:val="22"/>
                <w:szCs w:val="22"/>
                <w:lang w:val="uk-UA"/>
              </w:rPr>
              <w:t>Поперечний переріз підбар’єрного злиття, отриманий на основі потенціалу взаємодії модифікованого підходу Томаса</w:t>
            </w:r>
            <w:r w:rsidR="00C63993" w:rsidRPr="00071FCD">
              <w:rPr>
                <w:rFonts w:eastAsia="F29"/>
                <w:sz w:val="22"/>
                <w:szCs w:val="22"/>
                <w:lang w:val="uk-UA"/>
              </w:rPr>
              <w:t> </w:t>
            </w:r>
            <w:r w:rsidRPr="00071FCD">
              <w:rPr>
                <w:rFonts w:eastAsia="F29"/>
                <w:sz w:val="22"/>
                <w:szCs w:val="22"/>
                <w:lang w:val="uk-UA"/>
              </w:rPr>
              <w:t>-</w:t>
            </w:r>
            <w:r w:rsidR="00C63993" w:rsidRPr="00071FCD">
              <w:rPr>
                <w:rFonts w:eastAsia="F29"/>
                <w:sz w:val="22"/>
                <w:szCs w:val="22"/>
                <w:lang w:val="uk-UA"/>
              </w:rPr>
              <w:t> </w:t>
            </w:r>
            <w:r w:rsidRPr="00071FCD">
              <w:rPr>
                <w:rFonts w:eastAsia="F29"/>
                <w:sz w:val="22"/>
                <w:szCs w:val="22"/>
                <w:lang w:val="uk-UA"/>
              </w:rPr>
              <w:t xml:space="preserve">Фермі для системи </w:t>
            </w:r>
            <w:r w:rsidRPr="00071FCD">
              <w:rPr>
                <w:rFonts w:eastAsia="F88"/>
                <w:sz w:val="22"/>
                <w:szCs w:val="22"/>
                <w:vertAlign w:val="superscript"/>
                <w:lang w:val="uk-UA"/>
              </w:rPr>
              <w:t>12</w:t>
            </w:r>
            <w:r w:rsidRPr="00071FCD">
              <w:rPr>
                <w:rFonts w:eastAsia="F29"/>
                <w:sz w:val="22"/>
                <w:szCs w:val="22"/>
                <w:lang w:val="uk-UA"/>
              </w:rPr>
              <w:t>С</w:t>
            </w:r>
            <w:r w:rsidR="00063277" w:rsidRPr="00071FCD">
              <w:rPr>
                <w:rFonts w:eastAsia="F29"/>
                <w:sz w:val="22"/>
                <w:szCs w:val="22"/>
                <w:lang w:val="uk-UA"/>
              </w:rPr>
              <w:t xml:space="preserve"> </w:t>
            </w:r>
            <w:r w:rsidRPr="00071FCD">
              <w:rPr>
                <w:rFonts w:eastAsia="F29"/>
                <w:sz w:val="22"/>
                <w:szCs w:val="22"/>
                <w:lang w:val="uk-UA"/>
              </w:rPr>
              <w:t>+</w:t>
            </w:r>
            <w:r w:rsidR="00063277" w:rsidRPr="00071FCD">
              <w:rPr>
                <w:rFonts w:eastAsia="F29"/>
                <w:sz w:val="22"/>
                <w:szCs w:val="22"/>
                <w:lang w:val="uk-UA"/>
              </w:rPr>
              <w:t xml:space="preserve"> </w:t>
            </w:r>
            <w:r w:rsidRPr="00071FCD">
              <w:rPr>
                <w:rFonts w:eastAsia="F88"/>
                <w:sz w:val="22"/>
                <w:szCs w:val="22"/>
                <w:vertAlign w:val="superscript"/>
                <w:lang w:val="uk-UA"/>
              </w:rPr>
              <w:t>208</w:t>
            </w:r>
            <w:r w:rsidRPr="00071FCD">
              <w:rPr>
                <w:rFonts w:eastAsia="F29"/>
                <w:sz w:val="22"/>
                <w:szCs w:val="22"/>
                <w:lang w:val="uk-UA"/>
              </w:rPr>
              <w:t xml:space="preserve">Pb (ETF). </w:t>
            </w:r>
          </w:p>
        </w:tc>
      </w:tr>
    </w:tbl>
    <w:p w14:paraId="51C56585" w14:textId="77777777" w:rsidR="00E12A1E" w:rsidRPr="00071FCD" w:rsidRDefault="00E12A1E" w:rsidP="00071FCD">
      <w:pPr>
        <w:widowControl w:val="0"/>
        <w:autoSpaceDE/>
        <w:autoSpaceDN/>
        <w:adjustRightInd/>
        <w:ind w:firstLine="284"/>
        <w:jc w:val="both"/>
        <w:rPr>
          <w:sz w:val="22"/>
          <w:szCs w:val="22"/>
          <w:lang w:val="uk-UA"/>
        </w:rPr>
      </w:pPr>
    </w:p>
    <w:tbl>
      <w:tblPr>
        <w:tblW w:w="5000" w:type="pct"/>
        <w:tblLook w:val="04A0" w:firstRow="1" w:lastRow="0" w:firstColumn="1" w:lastColumn="0" w:noHBand="0" w:noVBand="1"/>
      </w:tblPr>
      <w:tblGrid>
        <w:gridCol w:w="4931"/>
        <w:gridCol w:w="4987"/>
      </w:tblGrid>
      <w:tr w:rsidR="00E12A1E" w:rsidRPr="00071FCD" w14:paraId="31907FAB" w14:textId="77777777" w:rsidTr="002072B3">
        <w:trPr>
          <w:trHeight w:val="3574"/>
        </w:trPr>
        <w:tc>
          <w:tcPr>
            <w:tcW w:w="2486" w:type="pct"/>
            <w:shd w:val="clear" w:color="auto" w:fill="auto"/>
          </w:tcPr>
          <w:p w14:paraId="1CD492EF" w14:textId="12A631F8" w:rsidR="00E12A1E" w:rsidRPr="00071FCD" w:rsidRDefault="00F71CDB" w:rsidP="00071FCD">
            <w:pPr>
              <w:widowControl w:val="0"/>
              <w:autoSpaceDE/>
              <w:autoSpaceDN/>
              <w:adjustRightInd/>
              <w:jc w:val="center"/>
              <w:rPr>
                <w:sz w:val="22"/>
                <w:szCs w:val="22"/>
                <w:lang w:val="uk-UA"/>
              </w:rPr>
            </w:pPr>
            <w:r w:rsidRPr="00071FCD">
              <w:rPr>
                <w:noProof/>
                <w:sz w:val="22"/>
                <w:szCs w:val="22"/>
                <w:lang w:val="uk-UA"/>
              </w:rPr>
              <w:drawing>
                <wp:inline distT="0" distB="0" distL="0" distR="0" wp14:anchorId="31799B6E" wp14:editId="1E4D32E5">
                  <wp:extent cx="2993390" cy="2303145"/>
                  <wp:effectExtent l="0" t="0" r="0" b="0"/>
                  <wp:docPr id="5" name="Picture 5" descr="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390" cy="2303145"/>
                          </a:xfrm>
                          <a:prstGeom prst="rect">
                            <a:avLst/>
                          </a:prstGeom>
                          <a:noFill/>
                          <a:ln>
                            <a:noFill/>
                          </a:ln>
                        </pic:spPr>
                      </pic:pic>
                    </a:graphicData>
                  </a:graphic>
                </wp:inline>
              </w:drawing>
            </w:r>
          </w:p>
        </w:tc>
        <w:tc>
          <w:tcPr>
            <w:tcW w:w="2514" w:type="pct"/>
            <w:shd w:val="clear" w:color="auto" w:fill="auto"/>
          </w:tcPr>
          <w:p w14:paraId="221598B8" w14:textId="7EA09871" w:rsidR="00E12A1E" w:rsidRPr="00071FCD" w:rsidRDefault="00F71CDB" w:rsidP="00071FCD">
            <w:pPr>
              <w:widowControl w:val="0"/>
              <w:autoSpaceDE/>
              <w:autoSpaceDN/>
              <w:adjustRightInd/>
              <w:jc w:val="center"/>
              <w:rPr>
                <w:sz w:val="22"/>
                <w:szCs w:val="22"/>
                <w:lang w:val="uk-UA"/>
              </w:rPr>
            </w:pPr>
            <w:r w:rsidRPr="00071FCD">
              <w:rPr>
                <w:noProof/>
                <w:sz w:val="22"/>
                <w:szCs w:val="22"/>
                <w:lang w:val="uk-UA"/>
              </w:rPr>
              <w:drawing>
                <wp:inline distT="0" distB="0" distL="0" distR="0" wp14:anchorId="214CAB8C" wp14:editId="32E10C46">
                  <wp:extent cx="3027680" cy="2338070"/>
                  <wp:effectExtent l="0" t="0" r="0" b="0"/>
                  <wp:docPr id="6" name="Picture 6" descr="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680" cy="2338070"/>
                          </a:xfrm>
                          <a:prstGeom prst="rect">
                            <a:avLst/>
                          </a:prstGeom>
                          <a:noFill/>
                          <a:ln>
                            <a:noFill/>
                          </a:ln>
                        </pic:spPr>
                      </pic:pic>
                    </a:graphicData>
                  </a:graphic>
                </wp:inline>
              </w:drawing>
            </w:r>
          </w:p>
        </w:tc>
      </w:tr>
      <w:tr w:rsidR="00E12A1E" w:rsidRPr="00071FCD" w14:paraId="21D1D33D" w14:textId="77777777" w:rsidTr="002072B3">
        <w:tc>
          <w:tcPr>
            <w:tcW w:w="2486" w:type="pct"/>
            <w:shd w:val="clear" w:color="auto" w:fill="auto"/>
            <w:tcMar>
              <w:left w:w="142" w:type="dxa"/>
              <w:right w:w="142" w:type="dxa"/>
            </w:tcMar>
          </w:tcPr>
          <w:p w14:paraId="0F7E9F23" w14:textId="77777777" w:rsidR="00071FCD" w:rsidRDefault="00071FCD" w:rsidP="00071FCD">
            <w:pPr>
              <w:widowControl w:val="0"/>
              <w:autoSpaceDE/>
              <w:autoSpaceDN/>
              <w:adjustRightInd/>
              <w:jc w:val="both"/>
              <w:rPr>
                <w:rFonts w:eastAsia="F88"/>
                <w:color w:val="000000"/>
                <w:sz w:val="22"/>
                <w:szCs w:val="22"/>
                <w:lang w:val="uk-UA"/>
              </w:rPr>
            </w:pPr>
          </w:p>
          <w:p w14:paraId="07ABB74B" w14:textId="77777777" w:rsidR="00E12A1E" w:rsidRPr="00071FCD" w:rsidRDefault="00E12A1E" w:rsidP="00071FCD">
            <w:pPr>
              <w:widowControl w:val="0"/>
              <w:autoSpaceDE/>
              <w:autoSpaceDN/>
              <w:adjustRightInd/>
              <w:jc w:val="both"/>
              <w:rPr>
                <w:color w:val="000000"/>
                <w:sz w:val="22"/>
                <w:szCs w:val="22"/>
                <w:lang w:val="uk-UA"/>
              </w:rPr>
            </w:pPr>
            <w:r w:rsidRPr="00071FCD">
              <w:rPr>
                <w:rFonts w:eastAsia="F88"/>
                <w:color w:val="000000"/>
                <w:sz w:val="22"/>
                <w:szCs w:val="22"/>
                <w:lang w:val="uk-UA"/>
              </w:rPr>
              <w:t>Рис.</w:t>
            </w:r>
            <w:r w:rsidR="002713BF" w:rsidRPr="00071FCD">
              <w:rPr>
                <w:rFonts w:eastAsia="F88"/>
                <w:color w:val="000000"/>
                <w:sz w:val="22"/>
                <w:szCs w:val="22"/>
                <w:lang w:val="uk-UA"/>
              </w:rPr>
              <w:t> </w:t>
            </w:r>
            <w:r w:rsidRPr="00071FCD">
              <w:rPr>
                <w:rFonts w:eastAsia="F88"/>
                <w:color w:val="000000"/>
                <w:sz w:val="22"/>
                <w:szCs w:val="22"/>
                <w:lang w:val="uk-UA"/>
              </w:rPr>
              <w:t xml:space="preserve">5. </w:t>
            </w:r>
            <w:r w:rsidRPr="00071FCD">
              <w:rPr>
                <w:rFonts w:eastAsia="F29"/>
                <w:color w:val="000000"/>
                <w:sz w:val="22"/>
                <w:szCs w:val="22"/>
                <w:lang w:val="uk-UA"/>
              </w:rPr>
              <w:t xml:space="preserve">Поперечний переріз пружного розсіяння для системи </w:t>
            </w:r>
            <w:r w:rsidRPr="00071FCD">
              <w:rPr>
                <w:rFonts w:eastAsia="F88"/>
                <w:color w:val="000000"/>
                <w:sz w:val="22"/>
                <w:szCs w:val="22"/>
                <w:vertAlign w:val="superscript"/>
                <w:lang w:val="uk-UA"/>
              </w:rPr>
              <w:t>16</w:t>
            </w:r>
            <w:r w:rsidRPr="00071FCD">
              <w:rPr>
                <w:rFonts w:eastAsia="F29"/>
                <w:color w:val="000000"/>
                <w:sz w:val="22"/>
                <w:szCs w:val="22"/>
                <w:lang w:val="uk-UA"/>
              </w:rPr>
              <w:t>О</w:t>
            </w:r>
            <w:r w:rsidR="002713BF" w:rsidRPr="00071FCD">
              <w:rPr>
                <w:rFonts w:eastAsia="F29"/>
                <w:color w:val="000000"/>
                <w:sz w:val="22"/>
                <w:szCs w:val="22"/>
                <w:lang w:val="uk-UA"/>
              </w:rPr>
              <w:t> </w:t>
            </w:r>
            <w:r w:rsidRPr="00071FCD">
              <w:rPr>
                <w:rFonts w:eastAsia="F29"/>
                <w:color w:val="000000"/>
                <w:sz w:val="22"/>
                <w:szCs w:val="22"/>
                <w:lang w:val="uk-UA"/>
              </w:rPr>
              <w:t>+</w:t>
            </w:r>
            <w:r w:rsidR="002713BF" w:rsidRPr="00071FCD">
              <w:rPr>
                <w:rFonts w:eastAsia="F29"/>
                <w:color w:val="000000"/>
                <w:sz w:val="22"/>
                <w:szCs w:val="22"/>
                <w:lang w:val="uk-UA"/>
              </w:rPr>
              <w:t> </w:t>
            </w:r>
            <w:r w:rsidRPr="00071FCD">
              <w:rPr>
                <w:rFonts w:eastAsia="F88"/>
                <w:color w:val="000000"/>
                <w:sz w:val="22"/>
                <w:szCs w:val="22"/>
                <w:vertAlign w:val="superscript"/>
                <w:lang w:val="uk-UA"/>
              </w:rPr>
              <w:t>208</w:t>
            </w:r>
            <w:r w:rsidRPr="00071FCD">
              <w:rPr>
                <w:rFonts w:eastAsia="F29"/>
                <w:color w:val="000000"/>
                <w:sz w:val="22"/>
                <w:szCs w:val="22"/>
                <w:lang w:val="uk-UA"/>
              </w:rPr>
              <w:t xml:space="preserve">Pb за енергії пучка </w:t>
            </w:r>
            <w:r w:rsidRPr="00071FCD">
              <w:rPr>
                <w:rFonts w:ascii="Cambria Math" w:eastAsia="CMMI10" w:hAnsi="Cambria Math" w:cs="Cambria Math"/>
                <w:color w:val="000000"/>
                <w:sz w:val="22"/>
                <w:szCs w:val="22"/>
                <w:lang w:val="uk-UA"/>
              </w:rPr>
              <w:t>𝐸</w:t>
            </w:r>
            <w:r w:rsidRPr="00071FCD">
              <w:rPr>
                <w:rFonts w:ascii="Cambria Math" w:eastAsia="CMMI7" w:hAnsi="Cambria Math" w:cs="Cambria Math"/>
                <w:color w:val="000000"/>
                <w:sz w:val="22"/>
                <w:szCs w:val="22"/>
                <w:vertAlign w:val="subscript"/>
                <w:lang w:val="uk-UA"/>
              </w:rPr>
              <w:t>𝑙𝑎𝑏</w:t>
            </w:r>
            <w:r w:rsidRPr="00071FCD">
              <w:rPr>
                <w:rFonts w:eastAsia="CMMI7"/>
                <w:color w:val="000000"/>
                <w:sz w:val="22"/>
                <w:szCs w:val="22"/>
                <w:lang w:val="uk-UA"/>
              </w:rPr>
              <w:t xml:space="preserve"> </w:t>
            </w:r>
            <w:r w:rsidRPr="00071FCD">
              <w:rPr>
                <w:rFonts w:eastAsia="F29"/>
                <w:color w:val="000000"/>
                <w:sz w:val="22"/>
                <w:szCs w:val="22"/>
                <w:lang w:val="uk-UA"/>
              </w:rPr>
              <w:t xml:space="preserve">= </w:t>
            </w:r>
            <w:r w:rsidR="000B0FDB" w:rsidRPr="00071FCD">
              <w:rPr>
                <w:rFonts w:eastAsia="F29"/>
                <w:color w:val="000000"/>
                <w:sz w:val="22"/>
                <w:szCs w:val="22"/>
                <w:lang w:val="uk-UA"/>
              </w:rPr>
              <w:br w:type="textWrapping" w:clear="all"/>
              <w:t>=</w:t>
            </w:r>
            <w:r w:rsidR="000B0FDB" w:rsidRPr="00071FCD">
              <w:rPr>
                <w:rFonts w:eastAsia="F29"/>
                <w:color w:val="000000"/>
                <w:sz w:val="22"/>
                <w:szCs w:val="22"/>
                <w:lang w:val="en-US"/>
              </w:rPr>
              <w:t> </w:t>
            </w:r>
            <w:r w:rsidRPr="00071FCD">
              <w:rPr>
                <w:rFonts w:eastAsia="F29"/>
                <w:color w:val="000000"/>
                <w:sz w:val="22"/>
                <w:szCs w:val="22"/>
                <w:lang w:val="uk-UA"/>
              </w:rPr>
              <w:t>95 МеВ, отриманий на основі потенціалу взаємодії модифікованого підходу Томаса</w:t>
            </w:r>
            <w:r w:rsidR="002713BF" w:rsidRPr="00071FCD">
              <w:rPr>
                <w:rFonts w:eastAsia="F29"/>
                <w:color w:val="000000"/>
                <w:sz w:val="22"/>
                <w:szCs w:val="22"/>
                <w:lang w:val="uk-UA"/>
              </w:rPr>
              <w:t> </w:t>
            </w:r>
            <w:r w:rsidRPr="00071FCD">
              <w:rPr>
                <w:rFonts w:eastAsia="F29"/>
                <w:color w:val="000000"/>
                <w:sz w:val="22"/>
                <w:szCs w:val="22"/>
                <w:lang w:val="uk-UA"/>
              </w:rPr>
              <w:t>-</w:t>
            </w:r>
            <w:r w:rsidR="002713BF" w:rsidRPr="00071FCD">
              <w:rPr>
                <w:rFonts w:eastAsia="F29"/>
                <w:color w:val="000000"/>
                <w:sz w:val="22"/>
                <w:szCs w:val="22"/>
                <w:lang w:val="uk-UA"/>
              </w:rPr>
              <w:t> </w:t>
            </w:r>
            <w:r w:rsidRPr="00071FCD">
              <w:rPr>
                <w:rFonts w:eastAsia="F29"/>
                <w:color w:val="000000"/>
                <w:sz w:val="22"/>
                <w:szCs w:val="22"/>
                <w:lang w:val="uk-UA"/>
              </w:rPr>
              <w:t>Фермі (ETF).</w:t>
            </w:r>
            <w:r w:rsidRPr="00071FCD">
              <w:rPr>
                <w:color w:val="000000"/>
                <w:sz w:val="22"/>
                <w:szCs w:val="22"/>
                <w:lang w:val="uk-UA"/>
              </w:rPr>
              <w:t xml:space="preserve"> </w:t>
            </w:r>
          </w:p>
        </w:tc>
        <w:tc>
          <w:tcPr>
            <w:tcW w:w="2514" w:type="pct"/>
            <w:shd w:val="clear" w:color="auto" w:fill="auto"/>
            <w:tcMar>
              <w:left w:w="142" w:type="dxa"/>
              <w:right w:w="142" w:type="dxa"/>
            </w:tcMar>
          </w:tcPr>
          <w:p w14:paraId="61A366DA" w14:textId="77777777" w:rsidR="008B0B4B" w:rsidRPr="00071FCD" w:rsidRDefault="008B0B4B" w:rsidP="00071FCD">
            <w:pPr>
              <w:widowControl w:val="0"/>
              <w:autoSpaceDE/>
              <w:autoSpaceDN/>
              <w:adjustRightInd/>
              <w:jc w:val="both"/>
              <w:rPr>
                <w:rFonts w:eastAsia="F88"/>
                <w:color w:val="000000"/>
                <w:sz w:val="22"/>
                <w:szCs w:val="22"/>
                <w:lang w:val="uk-UA"/>
              </w:rPr>
            </w:pPr>
          </w:p>
          <w:p w14:paraId="54AD9249" w14:textId="77777777" w:rsidR="00E12A1E" w:rsidRPr="00071FCD" w:rsidRDefault="00E12A1E" w:rsidP="00071FCD">
            <w:pPr>
              <w:widowControl w:val="0"/>
              <w:autoSpaceDE/>
              <w:autoSpaceDN/>
              <w:adjustRightInd/>
              <w:jc w:val="both"/>
              <w:rPr>
                <w:color w:val="000000"/>
                <w:sz w:val="22"/>
                <w:szCs w:val="22"/>
                <w:lang w:val="uk-UA"/>
              </w:rPr>
            </w:pPr>
            <w:r w:rsidRPr="00071FCD">
              <w:rPr>
                <w:rFonts w:eastAsia="F88"/>
                <w:color w:val="000000"/>
                <w:sz w:val="22"/>
                <w:szCs w:val="22"/>
                <w:lang w:val="uk-UA"/>
              </w:rPr>
              <w:t>Рис.</w:t>
            </w:r>
            <w:r w:rsidR="002713BF" w:rsidRPr="00071FCD">
              <w:rPr>
                <w:rFonts w:eastAsia="F88"/>
                <w:color w:val="000000"/>
                <w:sz w:val="22"/>
                <w:szCs w:val="22"/>
                <w:lang w:val="uk-UA"/>
              </w:rPr>
              <w:t> </w:t>
            </w:r>
            <w:r w:rsidRPr="00071FCD">
              <w:rPr>
                <w:rFonts w:eastAsia="F88"/>
                <w:color w:val="000000"/>
                <w:sz w:val="22"/>
                <w:szCs w:val="22"/>
                <w:lang w:val="uk-UA"/>
              </w:rPr>
              <w:t xml:space="preserve">6. </w:t>
            </w:r>
            <w:r w:rsidRPr="00071FCD">
              <w:rPr>
                <w:rFonts w:eastAsia="F29"/>
                <w:color w:val="000000"/>
                <w:sz w:val="22"/>
                <w:szCs w:val="22"/>
                <w:lang w:val="uk-UA"/>
              </w:rPr>
              <w:t xml:space="preserve">Поперечний переріз пружного розсіяння для системи </w:t>
            </w:r>
            <w:r w:rsidRPr="00071FCD">
              <w:rPr>
                <w:rFonts w:eastAsia="F88"/>
                <w:color w:val="000000"/>
                <w:sz w:val="22"/>
                <w:szCs w:val="22"/>
                <w:vertAlign w:val="superscript"/>
                <w:lang w:val="uk-UA"/>
              </w:rPr>
              <w:t>12</w:t>
            </w:r>
            <w:r w:rsidRPr="00071FCD">
              <w:rPr>
                <w:rFonts w:eastAsia="F29"/>
                <w:color w:val="000000"/>
                <w:sz w:val="22"/>
                <w:szCs w:val="22"/>
                <w:lang w:val="uk-UA"/>
              </w:rPr>
              <w:t>C</w:t>
            </w:r>
            <w:r w:rsidR="002713BF" w:rsidRPr="00071FCD">
              <w:rPr>
                <w:rFonts w:eastAsia="F29"/>
                <w:color w:val="000000"/>
                <w:sz w:val="22"/>
                <w:szCs w:val="22"/>
                <w:lang w:val="uk-UA"/>
              </w:rPr>
              <w:t> </w:t>
            </w:r>
            <w:r w:rsidRPr="00071FCD">
              <w:rPr>
                <w:rFonts w:eastAsia="F29"/>
                <w:color w:val="000000"/>
                <w:sz w:val="22"/>
                <w:szCs w:val="22"/>
                <w:lang w:val="uk-UA"/>
              </w:rPr>
              <w:t>+</w:t>
            </w:r>
            <w:r w:rsidR="002713BF" w:rsidRPr="00071FCD">
              <w:rPr>
                <w:rFonts w:eastAsia="F29"/>
                <w:color w:val="000000"/>
                <w:sz w:val="22"/>
                <w:szCs w:val="22"/>
                <w:lang w:val="uk-UA"/>
              </w:rPr>
              <w:t> </w:t>
            </w:r>
            <w:r w:rsidRPr="00071FCD">
              <w:rPr>
                <w:rFonts w:eastAsia="F88"/>
                <w:color w:val="000000"/>
                <w:sz w:val="22"/>
                <w:szCs w:val="22"/>
                <w:vertAlign w:val="superscript"/>
                <w:lang w:val="uk-UA"/>
              </w:rPr>
              <w:t>208</w:t>
            </w:r>
            <w:r w:rsidRPr="00071FCD">
              <w:rPr>
                <w:rFonts w:eastAsia="F29"/>
                <w:color w:val="000000"/>
                <w:sz w:val="22"/>
                <w:szCs w:val="22"/>
                <w:lang w:val="uk-UA"/>
              </w:rPr>
              <w:t xml:space="preserve">Pb за енергії пучка </w:t>
            </w:r>
            <w:r w:rsidRPr="00071FCD">
              <w:rPr>
                <w:rFonts w:ascii="Cambria Math" w:eastAsia="CMMI10" w:hAnsi="Cambria Math" w:cs="Cambria Math"/>
                <w:color w:val="000000"/>
                <w:sz w:val="22"/>
                <w:szCs w:val="22"/>
                <w:lang w:val="uk-UA"/>
              </w:rPr>
              <w:t>𝐸</w:t>
            </w:r>
            <w:r w:rsidRPr="00071FCD">
              <w:rPr>
                <w:rFonts w:ascii="Cambria Math" w:eastAsia="CMMI7" w:hAnsi="Cambria Math" w:cs="Cambria Math"/>
                <w:color w:val="000000"/>
                <w:sz w:val="22"/>
                <w:szCs w:val="22"/>
                <w:vertAlign w:val="subscript"/>
                <w:lang w:val="uk-UA"/>
              </w:rPr>
              <w:t>𝑙𝑎𝑏</w:t>
            </w:r>
            <w:r w:rsidRPr="00071FCD">
              <w:rPr>
                <w:rFonts w:eastAsia="CMMI7"/>
                <w:color w:val="000000"/>
                <w:sz w:val="22"/>
                <w:szCs w:val="22"/>
                <w:lang w:val="uk-UA"/>
              </w:rPr>
              <w:t xml:space="preserve"> </w:t>
            </w:r>
            <w:r w:rsidRPr="00071FCD">
              <w:rPr>
                <w:rFonts w:eastAsia="F29"/>
                <w:color w:val="000000"/>
                <w:sz w:val="22"/>
                <w:szCs w:val="22"/>
                <w:lang w:val="uk-UA"/>
              </w:rPr>
              <w:t xml:space="preserve">= </w:t>
            </w:r>
            <w:r w:rsidR="000B0FDB" w:rsidRPr="00071FCD">
              <w:rPr>
                <w:rFonts w:eastAsia="F29"/>
                <w:color w:val="000000"/>
                <w:sz w:val="22"/>
                <w:szCs w:val="22"/>
                <w:lang w:val="uk-UA"/>
              </w:rPr>
              <w:br w:type="textWrapping" w:clear="all"/>
              <w:t>=</w:t>
            </w:r>
            <w:r w:rsidR="000B0FDB" w:rsidRPr="00071FCD">
              <w:rPr>
                <w:rFonts w:eastAsia="F29"/>
                <w:color w:val="000000"/>
                <w:sz w:val="22"/>
                <w:szCs w:val="22"/>
                <w:lang w:val="en-US"/>
              </w:rPr>
              <w:t> </w:t>
            </w:r>
            <w:r w:rsidRPr="00071FCD">
              <w:rPr>
                <w:rFonts w:eastAsia="F29"/>
                <w:color w:val="000000"/>
                <w:sz w:val="22"/>
                <w:szCs w:val="22"/>
                <w:lang w:val="uk-UA"/>
              </w:rPr>
              <w:t>75</w:t>
            </w:r>
            <w:r w:rsidR="00A84AE3" w:rsidRPr="00071FCD">
              <w:rPr>
                <w:rFonts w:eastAsia="F29"/>
                <w:color w:val="000000"/>
                <w:sz w:val="22"/>
                <w:szCs w:val="22"/>
                <w:lang w:val="uk-UA"/>
              </w:rPr>
              <w:t>,</w:t>
            </w:r>
            <w:r w:rsidRPr="00071FCD">
              <w:rPr>
                <w:rFonts w:eastAsia="F29"/>
                <w:color w:val="000000"/>
                <w:sz w:val="22"/>
                <w:szCs w:val="22"/>
                <w:lang w:val="uk-UA"/>
              </w:rPr>
              <w:t>7 МеВ, отриманий на основі потенціалу взаємодії модифікованого підходу Томаса</w:t>
            </w:r>
            <w:r w:rsidR="002713BF" w:rsidRPr="00071FCD">
              <w:rPr>
                <w:rFonts w:eastAsia="F29"/>
                <w:color w:val="000000"/>
                <w:sz w:val="22"/>
                <w:szCs w:val="22"/>
                <w:lang w:val="uk-UA"/>
              </w:rPr>
              <w:t> </w:t>
            </w:r>
            <w:r w:rsidRPr="00071FCD">
              <w:rPr>
                <w:rFonts w:eastAsia="F29"/>
                <w:color w:val="000000"/>
                <w:sz w:val="22"/>
                <w:szCs w:val="22"/>
                <w:lang w:val="uk-UA"/>
              </w:rPr>
              <w:t>-</w:t>
            </w:r>
            <w:r w:rsidR="002713BF" w:rsidRPr="00071FCD">
              <w:rPr>
                <w:rFonts w:eastAsia="F29"/>
                <w:color w:val="000000"/>
                <w:sz w:val="22"/>
                <w:szCs w:val="22"/>
                <w:lang w:val="uk-UA"/>
              </w:rPr>
              <w:t> </w:t>
            </w:r>
            <w:r w:rsidRPr="00071FCD">
              <w:rPr>
                <w:rFonts w:eastAsia="F29"/>
                <w:color w:val="000000"/>
                <w:sz w:val="22"/>
                <w:szCs w:val="22"/>
                <w:lang w:val="uk-UA"/>
              </w:rPr>
              <w:t>Фермі (ETF).</w:t>
            </w:r>
            <w:r w:rsidRPr="00071FCD">
              <w:rPr>
                <w:color w:val="000000"/>
                <w:sz w:val="22"/>
                <w:szCs w:val="22"/>
                <w:lang w:val="uk-UA"/>
              </w:rPr>
              <w:t xml:space="preserve"> </w:t>
            </w:r>
          </w:p>
        </w:tc>
      </w:tr>
    </w:tbl>
    <w:p w14:paraId="09A1810A" w14:textId="77777777" w:rsidR="00E12A1E" w:rsidRPr="00071FCD" w:rsidRDefault="00E12A1E" w:rsidP="00071FCD">
      <w:pPr>
        <w:widowControl w:val="0"/>
        <w:autoSpaceDE/>
        <w:autoSpaceDN/>
        <w:adjustRightInd/>
        <w:ind w:firstLine="284"/>
        <w:rPr>
          <w:rFonts w:eastAsia="F57"/>
          <w:sz w:val="22"/>
          <w:szCs w:val="22"/>
          <w:lang w:val="uk-UA"/>
        </w:rPr>
      </w:pPr>
    </w:p>
    <w:p w14:paraId="13E000C0"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F57"/>
          <w:sz w:val="22"/>
          <w:szCs w:val="22"/>
          <w:lang w:val="uk-UA"/>
        </w:rPr>
        <w:t xml:space="preserve">R. Bass. </w:t>
      </w:r>
      <w:r w:rsidRPr="00071FCD">
        <w:rPr>
          <w:rFonts w:eastAsia="F58"/>
          <w:i/>
          <w:sz w:val="22"/>
          <w:szCs w:val="22"/>
          <w:lang w:val="uk-UA"/>
        </w:rPr>
        <w:t>Nuclear Reactions with Heavy Ion</w:t>
      </w:r>
      <w:r w:rsidRPr="00071FCD">
        <w:rPr>
          <w:rFonts w:eastAsia="F58"/>
          <w:sz w:val="22"/>
          <w:szCs w:val="22"/>
          <w:lang w:val="uk-UA"/>
        </w:rPr>
        <w:t xml:space="preserve"> </w:t>
      </w:r>
      <w:r w:rsidRPr="00071FCD">
        <w:rPr>
          <w:rFonts w:eastAsia="F57"/>
          <w:sz w:val="22"/>
          <w:szCs w:val="22"/>
          <w:lang w:val="uk-UA"/>
        </w:rPr>
        <w:t>(Berlin</w:t>
      </w:r>
      <w:r w:rsidRPr="00071FCD">
        <w:rPr>
          <w:rFonts w:eastAsia="F57"/>
          <w:sz w:val="22"/>
          <w:szCs w:val="22"/>
          <w:lang w:val="en-US"/>
        </w:rPr>
        <w:t xml:space="preserve">: </w:t>
      </w:r>
      <w:r w:rsidRPr="00071FCD">
        <w:rPr>
          <w:rFonts w:eastAsia="F57"/>
          <w:sz w:val="22"/>
          <w:szCs w:val="22"/>
          <w:lang w:val="uk-UA"/>
        </w:rPr>
        <w:t>Springer-Verlag, 1980)</w:t>
      </w:r>
      <w:r w:rsidRPr="00071FCD">
        <w:rPr>
          <w:rFonts w:eastAsia="F57"/>
          <w:sz w:val="22"/>
          <w:szCs w:val="22"/>
          <w:lang w:val="en-US"/>
        </w:rPr>
        <w:t xml:space="preserve"> 410 p</w:t>
      </w:r>
      <w:r w:rsidRPr="00071FCD">
        <w:rPr>
          <w:rFonts w:eastAsia="F57"/>
          <w:sz w:val="22"/>
          <w:szCs w:val="22"/>
          <w:lang w:val="uk-UA"/>
        </w:rPr>
        <w:t>.</w:t>
      </w:r>
    </w:p>
    <w:p w14:paraId="13898E5C"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sz w:val="22"/>
          <w:szCs w:val="22"/>
          <w:lang w:val="uk-UA"/>
        </w:rPr>
        <w:t>В.Ю. Денисов</w:t>
      </w:r>
      <w:r w:rsidR="002A4194" w:rsidRPr="00071FCD">
        <w:rPr>
          <w:sz w:val="22"/>
          <w:szCs w:val="22"/>
          <w:lang w:val="uk-UA"/>
        </w:rPr>
        <w:t>,</w:t>
      </w:r>
      <w:r w:rsidRPr="00071FCD">
        <w:rPr>
          <w:sz w:val="22"/>
          <w:szCs w:val="22"/>
          <w:lang w:val="uk-UA"/>
        </w:rPr>
        <w:t xml:space="preserve"> В.А. Плюйко</w:t>
      </w:r>
      <w:r w:rsidRPr="00071FCD">
        <w:rPr>
          <w:sz w:val="22"/>
          <w:szCs w:val="22"/>
        </w:rPr>
        <w:t>.</w:t>
      </w:r>
      <w:r w:rsidRPr="00071FCD">
        <w:rPr>
          <w:sz w:val="22"/>
          <w:szCs w:val="22"/>
          <w:lang w:val="uk-UA"/>
        </w:rPr>
        <w:t xml:space="preserve"> </w:t>
      </w:r>
      <w:r w:rsidRPr="00071FCD">
        <w:rPr>
          <w:i/>
          <w:sz w:val="22"/>
          <w:szCs w:val="22"/>
          <w:lang w:val="uk-UA"/>
        </w:rPr>
        <w:t>Проблемы физики атомного ядра и ядерных реакций</w:t>
      </w:r>
      <w:r w:rsidRPr="00071FCD">
        <w:rPr>
          <w:sz w:val="22"/>
          <w:szCs w:val="22"/>
          <w:lang w:val="uk-UA"/>
        </w:rPr>
        <w:t xml:space="preserve"> (К</w:t>
      </w:r>
      <w:r w:rsidR="0047514C" w:rsidRPr="00071FCD">
        <w:rPr>
          <w:sz w:val="22"/>
          <w:szCs w:val="22"/>
          <w:lang w:val="uk-UA"/>
        </w:rPr>
        <w:t>.</w:t>
      </w:r>
      <w:r w:rsidRPr="00071FCD">
        <w:rPr>
          <w:sz w:val="22"/>
          <w:szCs w:val="22"/>
        </w:rPr>
        <w:t>:</w:t>
      </w:r>
      <w:r w:rsidRPr="00071FCD">
        <w:rPr>
          <w:sz w:val="22"/>
          <w:szCs w:val="22"/>
          <w:lang w:val="uk-UA"/>
        </w:rPr>
        <w:t xml:space="preserve"> Издат</w:t>
      </w:r>
      <w:r w:rsidR="00207BB7" w:rsidRPr="00071FCD">
        <w:rPr>
          <w:sz w:val="22"/>
          <w:szCs w:val="22"/>
          <w:lang w:val="uk-UA"/>
        </w:rPr>
        <w:t>.</w:t>
      </w:r>
      <w:r w:rsidRPr="00071FCD">
        <w:rPr>
          <w:sz w:val="22"/>
          <w:szCs w:val="22"/>
          <w:lang w:val="uk-UA"/>
        </w:rPr>
        <w:t>-полиграф</w:t>
      </w:r>
      <w:r w:rsidR="00207BB7" w:rsidRPr="00071FCD">
        <w:rPr>
          <w:sz w:val="22"/>
          <w:szCs w:val="22"/>
          <w:lang w:val="uk-UA"/>
        </w:rPr>
        <w:t>.</w:t>
      </w:r>
      <w:r w:rsidRPr="00071FCD">
        <w:rPr>
          <w:sz w:val="22"/>
          <w:szCs w:val="22"/>
          <w:lang w:val="uk-UA"/>
        </w:rPr>
        <w:t xml:space="preserve"> центр </w:t>
      </w:r>
      <w:r w:rsidR="00207BB7" w:rsidRPr="00071FCD">
        <w:rPr>
          <w:sz w:val="22"/>
          <w:szCs w:val="22"/>
          <w:lang w:val="uk-UA"/>
        </w:rPr>
        <w:t>«</w:t>
      </w:r>
      <w:r w:rsidRPr="00071FCD">
        <w:rPr>
          <w:sz w:val="22"/>
          <w:szCs w:val="22"/>
          <w:lang w:val="uk-UA"/>
        </w:rPr>
        <w:t>Киевский университет</w:t>
      </w:r>
      <w:r w:rsidR="00207BB7" w:rsidRPr="00071FCD">
        <w:rPr>
          <w:sz w:val="22"/>
          <w:szCs w:val="22"/>
          <w:lang w:val="uk-UA"/>
        </w:rPr>
        <w:t>»</w:t>
      </w:r>
      <w:r w:rsidRPr="00071FCD">
        <w:rPr>
          <w:sz w:val="22"/>
          <w:szCs w:val="22"/>
          <w:lang w:val="uk-UA"/>
        </w:rPr>
        <w:t>, 2013)</w:t>
      </w:r>
      <w:r w:rsidRPr="00071FCD">
        <w:rPr>
          <w:sz w:val="22"/>
          <w:szCs w:val="22"/>
        </w:rPr>
        <w:t xml:space="preserve"> 430 </w:t>
      </w:r>
      <w:r w:rsidRPr="00071FCD">
        <w:rPr>
          <w:sz w:val="22"/>
          <w:szCs w:val="22"/>
          <w:lang w:val="en-US"/>
        </w:rPr>
        <w:t>c</w:t>
      </w:r>
      <w:r w:rsidRPr="00071FCD">
        <w:rPr>
          <w:sz w:val="22"/>
          <w:szCs w:val="22"/>
          <w:lang w:val="uk-UA"/>
        </w:rPr>
        <w:t>.</w:t>
      </w:r>
    </w:p>
    <w:p w14:paraId="1F271346"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F57"/>
          <w:sz w:val="22"/>
          <w:szCs w:val="22"/>
          <w:lang w:val="uk-UA"/>
        </w:rPr>
        <w:t>M. Brack, C. Guet</w:t>
      </w:r>
      <w:r w:rsidR="00207BB7" w:rsidRPr="00071FCD">
        <w:rPr>
          <w:rFonts w:eastAsia="F57"/>
          <w:sz w:val="22"/>
          <w:szCs w:val="22"/>
          <w:lang w:val="uk-UA"/>
        </w:rPr>
        <w:t>,</w:t>
      </w:r>
      <w:r w:rsidRPr="00071FCD">
        <w:rPr>
          <w:rFonts w:eastAsia="F57"/>
          <w:sz w:val="22"/>
          <w:szCs w:val="22"/>
          <w:lang w:val="uk-UA"/>
        </w:rPr>
        <w:t xml:space="preserve"> H.B. Hakanson</w:t>
      </w:r>
      <w:r w:rsidRPr="00071FCD">
        <w:rPr>
          <w:rFonts w:eastAsia="F57"/>
          <w:sz w:val="22"/>
          <w:szCs w:val="22"/>
          <w:lang w:val="en-US"/>
        </w:rPr>
        <w:t>.</w:t>
      </w:r>
      <w:r w:rsidRPr="00071FCD">
        <w:rPr>
          <w:rFonts w:eastAsia="F57"/>
          <w:sz w:val="22"/>
          <w:szCs w:val="22"/>
          <w:lang w:val="uk-UA"/>
        </w:rPr>
        <w:t xml:space="preserve"> Phys. Rep. </w:t>
      </w:r>
      <w:r w:rsidRPr="00071FCD">
        <w:rPr>
          <w:rFonts w:eastAsia="F87"/>
          <w:sz w:val="22"/>
          <w:szCs w:val="22"/>
          <w:lang w:val="uk-UA"/>
        </w:rPr>
        <w:t>123</w:t>
      </w:r>
      <w:r w:rsidRPr="00071FCD">
        <w:rPr>
          <w:rFonts w:eastAsia="F57"/>
          <w:sz w:val="22"/>
          <w:szCs w:val="22"/>
          <w:lang w:val="en-US"/>
        </w:rPr>
        <w:t xml:space="preserve"> </w:t>
      </w:r>
      <w:r w:rsidRPr="00071FCD">
        <w:rPr>
          <w:rFonts w:eastAsia="F57"/>
          <w:sz w:val="22"/>
          <w:szCs w:val="22"/>
          <w:lang w:val="uk-UA"/>
        </w:rPr>
        <w:t>(1985)</w:t>
      </w:r>
      <w:r w:rsidRPr="00071FCD">
        <w:rPr>
          <w:rFonts w:eastAsia="F57"/>
          <w:sz w:val="22"/>
          <w:szCs w:val="22"/>
          <w:lang w:val="en-US"/>
        </w:rPr>
        <w:t xml:space="preserve"> </w:t>
      </w:r>
      <w:r w:rsidRPr="00071FCD">
        <w:rPr>
          <w:rFonts w:eastAsia="F57"/>
          <w:sz w:val="22"/>
          <w:szCs w:val="22"/>
          <w:lang w:val="uk-UA"/>
        </w:rPr>
        <w:t>275.</w:t>
      </w:r>
    </w:p>
    <w:p w14:paraId="391B3295"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TimesNewRoman"/>
          <w:sz w:val="22"/>
          <w:szCs w:val="22"/>
          <w:lang w:val="uk-UA"/>
        </w:rPr>
        <w:t>В.О. Нестеров, О.І. Давидовська, В.Ю. Денисов. Ядерна фізика та енергетика 20(4) (2019) 349.</w:t>
      </w:r>
    </w:p>
    <w:p w14:paraId="637042E9"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TimesNewRoman"/>
          <w:sz w:val="22"/>
          <w:szCs w:val="22"/>
          <w:lang w:val="uk-UA"/>
        </w:rPr>
        <w:t>О.І. Давидовська, В.Ю. Денисов, В.О. Нестеров. УФЖ 62(6) (2017) 471.</w:t>
      </w:r>
    </w:p>
    <w:p w14:paraId="64C3DB1B"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TimesNewRoman"/>
          <w:sz w:val="22"/>
          <w:szCs w:val="22"/>
          <w:lang w:val="uk-UA"/>
        </w:rPr>
        <w:t>О.І. Давидовська, В.Ю. Денисов, В.О. Нестеров. Ядерна фізика та енергетика 19(3) (2018) 203.</w:t>
      </w:r>
    </w:p>
    <w:p w14:paraId="48B97B51"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TimesNewRoman"/>
          <w:sz w:val="22"/>
          <w:szCs w:val="22"/>
          <w:lang w:val="uk-UA"/>
        </w:rPr>
        <w:t>О.І. Давидовська, В.Ю. Денисов, В.О. Нестеров. Ядерна фізика та енергетика 11(1) (2010) 25.</w:t>
      </w:r>
    </w:p>
    <w:p w14:paraId="0EBCAA78" w14:textId="77777777" w:rsidR="00E12A1E"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TimesNewRoman"/>
          <w:sz w:val="22"/>
          <w:szCs w:val="22"/>
          <w:lang w:val="uk-UA"/>
        </w:rPr>
        <w:t>O.I. Davydovska, V.Yu. Denisov, V.A. Nesterov. Nucl. Phys. A 989 (2019) 214.</w:t>
      </w:r>
    </w:p>
    <w:p w14:paraId="76E4817A" w14:textId="77777777" w:rsidR="007B5471" w:rsidRPr="00071FCD" w:rsidRDefault="00E12A1E" w:rsidP="00071FCD">
      <w:pPr>
        <w:widowControl w:val="0"/>
        <w:numPr>
          <w:ilvl w:val="0"/>
          <w:numId w:val="4"/>
        </w:numPr>
        <w:autoSpaceDE/>
        <w:autoSpaceDN/>
        <w:adjustRightInd/>
        <w:ind w:left="284" w:hanging="284"/>
        <w:jc w:val="both"/>
        <w:rPr>
          <w:rFonts w:eastAsia="F57"/>
          <w:sz w:val="22"/>
          <w:szCs w:val="22"/>
          <w:lang w:val="uk-UA"/>
        </w:rPr>
      </w:pPr>
      <w:r w:rsidRPr="00071FCD">
        <w:rPr>
          <w:rFonts w:eastAsia="F57"/>
          <w:sz w:val="22"/>
          <w:szCs w:val="22"/>
          <w:lang w:val="uk-UA"/>
        </w:rPr>
        <w:t>T.H.R. Skyrme</w:t>
      </w:r>
      <w:r w:rsidRPr="00071FCD">
        <w:rPr>
          <w:rFonts w:eastAsia="F57"/>
          <w:sz w:val="22"/>
          <w:szCs w:val="22"/>
          <w:lang w:val="en-US"/>
        </w:rPr>
        <w:t>.</w:t>
      </w:r>
      <w:r w:rsidRPr="00071FCD">
        <w:rPr>
          <w:rFonts w:eastAsia="F57"/>
          <w:sz w:val="22"/>
          <w:szCs w:val="22"/>
          <w:lang w:val="uk-UA"/>
        </w:rPr>
        <w:t xml:space="preserve"> Nucl. Phys. </w:t>
      </w:r>
      <w:r w:rsidRPr="00071FCD">
        <w:rPr>
          <w:rFonts w:eastAsia="F87"/>
          <w:sz w:val="22"/>
          <w:szCs w:val="22"/>
          <w:lang w:val="uk-UA"/>
        </w:rPr>
        <w:t>9</w:t>
      </w:r>
      <w:r w:rsidRPr="00071FCD">
        <w:rPr>
          <w:rFonts w:eastAsia="F87"/>
          <w:sz w:val="22"/>
          <w:szCs w:val="22"/>
          <w:lang w:val="en-US"/>
        </w:rPr>
        <w:t xml:space="preserve"> </w:t>
      </w:r>
      <w:r w:rsidRPr="00071FCD">
        <w:rPr>
          <w:rFonts w:eastAsia="F57"/>
          <w:sz w:val="22"/>
          <w:szCs w:val="22"/>
          <w:lang w:val="uk-UA"/>
        </w:rPr>
        <w:t>(1959) 615.</w:t>
      </w:r>
    </w:p>
    <w:sectPr w:rsidR="007B5471" w:rsidRPr="00071FCD" w:rsidSect="001715CD">
      <w:headerReference w:type="default" r:id="rId14"/>
      <w:footerReference w:type="default" r:id="rId15"/>
      <w:pgSz w:w="11907" w:h="16840"/>
      <w:pgMar w:top="1134" w:right="1134" w:bottom="1418" w:left="1134" w:header="709" w:footer="709" w:gutter="0"/>
      <w:pgNumType w:start="4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8C558" w14:textId="77777777" w:rsidR="001633BB" w:rsidRDefault="001633BB">
      <w:r>
        <w:separator/>
      </w:r>
    </w:p>
  </w:endnote>
  <w:endnote w:type="continuationSeparator" w:id="0">
    <w:p w14:paraId="27972C4F" w14:textId="77777777" w:rsidR="001633BB" w:rsidRDefault="0016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28">
    <w:altName w:val="Arial Unicode MS"/>
    <w:panose1 w:val="00000000000000000000"/>
    <w:charset w:val="88"/>
    <w:family w:val="swiss"/>
    <w:notTrueType/>
    <w:pitch w:val="default"/>
    <w:sig w:usb0="00000000" w:usb1="08080000" w:usb2="00000010" w:usb3="00000000" w:csb0="00100000" w:csb1="00000000"/>
  </w:font>
  <w:font w:name="F88">
    <w:altName w:val="Arial Unicode MS"/>
    <w:panose1 w:val="00000000000000000000"/>
    <w:charset w:val="88"/>
    <w:family w:val="swiss"/>
    <w:notTrueType/>
    <w:pitch w:val="default"/>
    <w:sig w:usb0="00000001" w:usb1="08080000" w:usb2="00000010" w:usb3="00000000" w:csb0="00100000" w:csb1="00000000"/>
  </w:font>
  <w:font w:name="F29">
    <w:altName w:val="Arial Unicode MS"/>
    <w:panose1 w:val="00000000000000000000"/>
    <w:charset w:val="88"/>
    <w:family w:val="swiss"/>
    <w:notTrueType/>
    <w:pitch w:val="default"/>
    <w:sig w:usb0="00000001" w:usb1="08080000" w:usb2="00000010" w:usb3="00000000" w:csb0="00100000" w:csb1="00000000"/>
  </w:font>
  <w:font w:name="TimesNewRoman">
    <w:altName w:val="Yu Gothic"/>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MMI10">
    <w:altName w:val="Malgun Gothic"/>
    <w:panose1 w:val="00000000000000000000"/>
    <w:charset w:val="81"/>
    <w:family w:val="auto"/>
    <w:notTrueType/>
    <w:pitch w:val="default"/>
    <w:sig w:usb0="00000001" w:usb1="09060000" w:usb2="00000010" w:usb3="00000000" w:csb0="00080000" w:csb1="00000000"/>
  </w:font>
  <w:font w:name="CMMI7">
    <w:altName w:val="MS Gothic"/>
    <w:panose1 w:val="00000000000000000000"/>
    <w:charset w:val="80"/>
    <w:family w:val="auto"/>
    <w:notTrueType/>
    <w:pitch w:val="default"/>
    <w:sig w:usb0="00000000" w:usb1="08070000" w:usb2="00000010" w:usb3="00000000" w:csb0="00020000" w:csb1="00000000"/>
  </w:font>
  <w:font w:name="F57">
    <w:altName w:val="Arial Unicode MS"/>
    <w:panose1 w:val="00000000000000000000"/>
    <w:charset w:val="88"/>
    <w:family w:val="swiss"/>
    <w:notTrueType/>
    <w:pitch w:val="default"/>
    <w:sig w:usb0="00000001" w:usb1="08080000" w:usb2="00000010" w:usb3="00000000" w:csb0="00100000" w:csb1="00000000"/>
  </w:font>
  <w:font w:name="F58">
    <w:altName w:val="Arial Unicode MS"/>
    <w:panose1 w:val="00000000000000000000"/>
    <w:charset w:val="88"/>
    <w:family w:val="swiss"/>
    <w:notTrueType/>
    <w:pitch w:val="default"/>
    <w:sig w:usb0="00000001" w:usb1="08080000" w:usb2="00000010" w:usb3="00000000" w:csb0="00100000" w:csb1="00000000"/>
  </w:font>
  <w:font w:name="F87">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B1EF" w14:textId="77777777" w:rsidR="00CC4899" w:rsidRDefault="00CC4899" w:rsidP="00CC4899">
    <w:pPr>
      <w:pStyle w:val="Footer"/>
      <w:widowControl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D6F7" w14:textId="77777777" w:rsidR="001633BB" w:rsidRDefault="001633BB">
      <w:r>
        <w:separator/>
      </w:r>
    </w:p>
  </w:footnote>
  <w:footnote w:type="continuationSeparator" w:id="0">
    <w:p w14:paraId="35068EC2" w14:textId="77777777" w:rsidR="001633BB" w:rsidRDefault="0016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3E11" w14:textId="77777777" w:rsidR="00C5296D" w:rsidRPr="00695522" w:rsidRDefault="00C5296D" w:rsidP="003B4125">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C27ECD"/>
    <w:multiLevelType w:val="hybridMultilevel"/>
    <w:tmpl w:val="4EE58E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4179E"/>
    <w:multiLevelType w:val="hybridMultilevel"/>
    <w:tmpl w:val="9BFA70B6"/>
    <w:lvl w:ilvl="0" w:tplc="8D685354">
      <w:start w:val="1"/>
      <w:numFmt w:val="decimal"/>
      <w:lvlText w:val="%1."/>
      <w:lvlJc w:val="left"/>
      <w:pPr>
        <w:tabs>
          <w:tab w:val="num" w:pos="720"/>
        </w:tabs>
        <w:ind w:left="720" w:hanging="360"/>
      </w:pPr>
      <w:rPr>
        <w:b w:val="0"/>
        <w:lang w:val="en-GB"/>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13416A8A"/>
    <w:multiLevelType w:val="hybridMultilevel"/>
    <w:tmpl w:val="7DE8CC04"/>
    <w:lvl w:ilvl="0" w:tplc="4E7431F6">
      <w:start w:val="1"/>
      <w:numFmt w:val="decimal"/>
      <w:lvlText w:val="%1."/>
      <w:lvlJc w:val="left"/>
      <w:pPr>
        <w:ind w:left="720" w:hanging="360"/>
      </w:pPr>
      <w:rPr>
        <w:rFonts w:ascii="Times New Roman" w:eastAsia="Times New Roman" w:hAnsi="Times New Roman" w:cs="Times New Roman" w:hint="default"/>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7A0F74"/>
    <w:multiLevelType w:val="hybridMultilevel"/>
    <w:tmpl w:val="536E3768"/>
    <w:lvl w:ilvl="0" w:tplc="030A1858">
      <w:start w:val="1"/>
      <w:numFmt w:val="decimal"/>
      <w:lvlText w:val="%1."/>
      <w:lvlJc w:val="left"/>
      <w:pPr>
        <w:ind w:left="375" w:hanging="360"/>
      </w:pPr>
      <w:rPr>
        <w:rFonts w:hint="default"/>
      </w:rPr>
    </w:lvl>
    <w:lvl w:ilvl="1" w:tplc="04220019" w:tentative="1">
      <w:start w:val="1"/>
      <w:numFmt w:val="lowerLetter"/>
      <w:lvlText w:val="%2."/>
      <w:lvlJc w:val="left"/>
      <w:pPr>
        <w:ind w:left="1095" w:hanging="360"/>
      </w:pPr>
    </w:lvl>
    <w:lvl w:ilvl="2" w:tplc="0422001B" w:tentative="1">
      <w:start w:val="1"/>
      <w:numFmt w:val="lowerRoman"/>
      <w:lvlText w:val="%3."/>
      <w:lvlJc w:val="right"/>
      <w:pPr>
        <w:ind w:left="1815" w:hanging="180"/>
      </w:pPr>
    </w:lvl>
    <w:lvl w:ilvl="3" w:tplc="0422000F" w:tentative="1">
      <w:start w:val="1"/>
      <w:numFmt w:val="decimal"/>
      <w:lvlText w:val="%4."/>
      <w:lvlJc w:val="left"/>
      <w:pPr>
        <w:ind w:left="2535" w:hanging="360"/>
      </w:pPr>
    </w:lvl>
    <w:lvl w:ilvl="4" w:tplc="04220019" w:tentative="1">
      <w:start w:val="1"/>
      <w:numFmt w:val="lowerLetter"/>
      <w:lvlText w:val="%5."/>
      <w:lvlJc w:val="left"/>
      <w:pPr>
        <w:ind w:left="3255" w:hanging="360"/>
      </w:pPr>
    </w:lvl>
    <w:lvl w:ilvl="5" w:tplc="0422001B" w:tentative="1">
      <w:start w:val="1"/>
      <w:numFmt w:val="lowerRoman"/>
      <w:lvlText w:val="%6."/>
      <w:lvlJc w:val="right"/>
      <w:pPr>
        <w:ind w:left="3975" w:hanging="180"/>
      </w:pPr>
    </w:lvl>
    <w:lvl w:ilvl="6" w:tplc="0422000F" w:tentative="1">
      <w:start w:val="1"/>
      <w:numFmt w:val="decimal"/>
      <w:lvlText w:val="%7."/>
      <w:lvlJc w:val="left"/>
      <w:pPr>
        <w:ind w:left="4695" w:hanging="360"/>
      </w:pPr>
    </w:lvl>
    <w:lvl w:ilvl="7" w:tplc="04220019" w:tentative="1">
      <w:start w:val="1"/>
      <w:numFmt w:val="lowerLetter"/>
      <w:lvlText w:val="%8."/>
      <w:lvlJc w:val="left"/>
      <w:pPr>
        <w:ind w:left="5415" w:hanging="360"/>
      </w:pPr>
    </w:lvl>
    <w:lvl w:ilvl="8" w:tplc="0422001B" w:tentative="1">
      <w:start w:val="1"/>
      <w:numFmt w:val="lowerRoman"/>
      <w:lvlText w:val="%9."/>
      <w:lvlJc w:val="right"/>
      <w:pPr>
        <w:ind w:left="613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4"/>
  <w:hyphenationZone w:val="357"/>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wNjQyMTG2sDQwMrBQ0lEKTi0uzszPAykwqgUAChw7ViwAAAA="/>
  </w:docVars>
  <w:rsids>
    <w:rsidRoot w:val="00093501"/>
    <w:rsid w:val="00024D82"/>
    <w:rsid w:val="000262A3"/>
    <w:rsid w:val="00040BD8"/>
    <w:rsid w:val="00063277"/>
    <w:rsid w:val="00070A63"/>
    <w:rsid w:val="00071FCD"/>
    <w:rsid w:val="0009131A"/>
    <w:rsid w:val="00093501"/>
    <w:rsid w:val="00095C05"/>
    <w:rsid w:val="000B0FDB"/>
    <w:rsid w:val="000E77E8"/>
    <w:rsid w:val="000F5CF4"/>
    <w:rsid w:val="000F5D41"/>
    <w:rsid w:val="00100B4F"/>
    <w:rsid w:val="00114EB3"/>
    <w:rsid w:val="00116970"/>
    <w:rsid w:val="00143133"/>
    <w:rsid w:val="001633BB"/>
    <w:rsid w:val="001715CD"/>
    <w:rsid w:val="001A41FC"/>
    <w:rsid w:val="001A7EF9"/>
    <w:rsid w:val="001C43E8"/>
    <w:rsid w:val="001D567A"/>
    <w:rsid w:val="001E6839"/>
    <w:rsid w:val="001F1D1E"/>
    <w:rsid w:val="00206FE5"/>
    <w:rsid w:val="002072B3"/>
    <w:rsid w:val="00207BB7"/>
    <w:rsid w:val="0022555B"/>
    <w:rsid w:val="00232CBE"/>
    <w:rsid w:val="0023434D"/>
    <w:rsid w:val="00237FF9"/>
    <w:rsid w:val="0024391E"/>
    <w:rsid w:val="00244E25"/>
    <w:rsid w:val="00267DA2"/>
    <w:rsid w:val="002713BF"/>
    <w:rsid w:val="002827AE"/>
    <w:rsid w:val="00296FFB"/>
    <w:rsid w:val="002A4194"/>
    <w:rsid w:val="002A481E"/>
    <w:rsid w:val="002B1DE2"/>
    <w:rsid w:val="002B298B"/>
    <w:rsid w:val="002B475C"/>
    <w:rsid w:val="002E3A9C"/>
    <w:rsid w:val="002E4A08"/>
    <w:rsid w:val="002F2274"/>
    <w:rsid w:val="002F6EE0"/>
    <w:rsid w:val="00303638"/>
    <w:rsid w:val="003041D1"/>
    <w:rsid w:val="003607FA"/>
    <w:rsid w:val="00371819"/>
    <w:rsid w:val="00383962"/>
    <w:rsid w:val="00387406"/>
    <w:rsid w:val="00387A21"/>
    <w:rsid w:val="0039201F"/>
    <w:rsid w:val="003B4125"/>
    <w:rsid w:val="003D29C5"/>
    <w:rsid w:val="00405F76"/>
    <w:rsid w:val="0043498A"/>
    <w:rsid w:val="00466444"/>
    <w:rsid w:val="00474126"/>
    <w:rsid w:val="0047514C"/>
    <w:rsid w:val="004817B0"/>
    <w:rsid w:val="004A671C"/>
    <w:rsid w:val="004C003A"/>
    <w:rsid w:val="004C034C"/>
    <w:rsid w:val="004D5058"/>
    <w:rsid w:val="004F017B"/>
    <w:rsid w:val="00500358"/>
    <w:rsid w:val="00506134"/>
    <w:rsid w:val="00520699"/>
    <w:rsid w:val="0053622A"/>
    <w:rsid w:val="00540C2E"/>
    <w:rsid w:val="00541C58"/>
    <w:rsid w:val="005864A5"/>
    <w:rsid w:val="005A078B"/>
    <w:rsid w:val="005A749B"/>
    <w:rsid w:val="005C47BF"/>
    <w:rsid w:val="005E3D8F"/>
    <w:rsid w:val="005E79FA"/>
    <w:rsid w:val="005F2A66"/>
    <w:rsid w:val="005F746C"/>
    <w:rsid w:val="00605671"/>
    <w:rsid w:val="00614199"/>
    <w:rsid w:val="0063103F"/>
    <w:rsid w:val="00633922"/>
    <w:rsid w:val="006367C3"/>
    <w:rsid w:val="00642BD2"/>
    <w:rsid w:val="00644E62"/>
    <w:rsid w:val="006579FE"/>
    <w:rsid w:val="00682149"/>
    <w:rsid w:val="006879BE"/>
    <w:rsid w:val="00695522"/>
    <w:rsid w:val="006971A3"/>
    <w:rsid w:val="006D7CF1"/>
    <w:rsid w:val="00705AB8"/>
    <w:rsid w:val="00715DE9"/>
    <w:rsid w:val="00725BED"/>
    <w:rsid w:val="00727C06"/>
    <w:rsid w:val="00735012"/>
    <w:rsid w:val="00752024"/>
    <w:rsid w:val="00767BE0"/>
    <w:rsid w:val="007765DC"/>
    <w:rsid w:val="00783146"/>
    <w:rsid w:val="007926B9"/>
    <w:rsid w:val="007A38A8"/>
    <w:rsid w:val="007B5471"/>
    <w:rsid w:val="007E0F92"/>
    <w:rsid w:val="007F4434"/>
    <w:rsid w:val="00830FCA"/>
    <w:rsid w:val="00870142"/>
    <w:rsid w:val="0089115D"/>
    <w:rsid w:val="008A071F"/>
    <w:rsid w:val="008A6D0A"/>
    <w:rsid w:val="008B0B4B"/>
    <w:rsid w:val="008B193E"/>
    <w:rsid w:val="008B4405"/>
    <w:rsid w:val="008B611B"/>
    <w:rsid w:val="008C4FC1"/>
    <w:rsid w:val="008C531E"/>
    <w:rsid w:val="008C7AEE"/>
    <w:rsid w:val="008E5168"/>
    <w:rsid w:val="008F1AAE"/>
    <w:rsid w:val="00904666"/>
    <w:rsid w:val="009100EB"/>
    <w:rsid w:val="00932B09"/>
    <w:rsid w:val="00946697"/>
    <w:rsid w:val="0095397B"/>
    <w:rsid w:val="00963818"/>
    <w:rsid w:val="0097555F"/>
    <w:rsid w:val="009B669A"/>
    <w:rsid w:val="009C5BFD"/>
    <w:rsid w:val="009C7928"/>
    <w:rsid w:val="009D314B"/>
    <w:rsid w:val="009F22D1"/>
    <w:rsid w:val="00A002F7"/>
    <w:rsid w:val="00A00C6A"/>
    <w:rsid w:val="00A10F67"/>
    <w:rsid w:val="00A2617D"/>
    <w:rsid w:val="00A67497"/>
    <w:rsid w:val="00A7305C"/>
    <w:rsid w:val="00A7508B"/>
    <w:rsid w:val="00A80FA5"/>
    <w:rsid w:val="00A84AE3"/>
    <w:rsid w:val="00AC4761"/>
    <w:rsid w:val="00AF4515"/>
    <w:rsid w:val="00B026BF"/>
    <w:rsid w:val="00B23B7D"/>
    <w:rsid w:val="00B243D1"/>
    <w:rsid w:val="00B32970"/>
    <w:rsid w:val="00B349BA"/>
    <w:rsid w:val="00B57254"/>
    <w:rsid w:val="00B664C0"/>
    <w:rsid w:val="00B73CCA"/>
    <w:rsid w:val="00B77FA5"/>
    <w:rsid w:val="00B82461"/>
    <w:rsid w:val="00B9115B"/>
    <w:rsid w:val="00BA2995"/>
    <w:rsid w:val="00BA412E"/>
    <w:rsid w:val="00BE5E09"/>
    <w:rsid w:val="00C06772"/>
    <w:rsid w:val="00C12DCF"/>
    <w:rsid w:val="00C17239"/>
    <w:rsid w:val="00C2557D"/>
    <w:rsid w:val="00C34BFC"/>
    <w:rsid w:val="00C41C8A"/>
    <w:rsid w:val="00C50971"/>
    <w:rsid w:val="00C5296D"/>
    <w:rsid w:val="00C63993"/>
    <w:rsid w:val="00CB3359"/>
    <w:rsid w:val="00CB6062"/>
    <w:rsid w:val="00CC4899"/>
    <w:rsid w:val="00CD2A7E"/>
    <w:rsid w:val="00CF6E73"/>
    <w:rsid w:val="00D14A63"/>
    <w:rsid w:val="00D16669"/>
    <w:rsid w:val="00D2068C"/>
    <w:rsid w:val="00D35509"/>
    <w:rsid w:val="00D4036E"/>
    <w:rsid w:val="00D53EBB"/>
    <w:rsid w:val="00D630BF"/>
    <w:rsid w:val="00D77A79"/>
    <w:rsid w:val="00D8229B"/>
    <w:rsid w:val="00D82E71"/>
    <w:rsid w:val="00D91371"/>
    <w:rsid w:val="00D91AB1"/>
    <w:rsid w:val="00D94C89"/>
    <w:rsid w:val="00DD1B7A"/>
    <w:rsid w:val="00E074BA"/>
    <w:rsid w:val="00E12A1E"/>
    <w:rsid w:val="00E1613A"/>
    <w:rsid w:val="00E17325"/>
    <w:rsid w:val="00E35ABE"/>
    <w:rsid w:val="00E66F38"/>
    <w:rsid w:val="00E678F7"/>
    <w:rsid w:val="00E75104"/>
    <w:rsid w:val="00E92B15"/>
    <w:rsid w:val="00ED33B6"/>
    <w:rsid w:val="00ED72FC"/>
    <w:rsid w:val="00EE244E"/>
    <w:rsid w:val="00F04023"/>
    <w:rsid w:val="00F37AF8"/>
    <w:rsid w:val="00F42B99"/>
    <w:rsid w:val="00F51CAF"/>
    <w:rsid w:val="00F70272"/>
    <w:rsid w:val="00F71377"/>
    <w:rsid w:val="00F71CDB"/>
    <w:rsid w:val="00F93B47"/>
    <w:rsid w:val="00F95CF6"/>
    <w:rsid w:val="00FC122B"/>
    <w:rsid w:val="00FE7D51"/>
    <w:rsid w:val="00FF6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F2C29F"/>
  <w15:chartTrackingRefBased/>
  <w15:docId w15:val="{1B656A08-9FBC-4D21-96E5-76494DFA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sid w:val="00296FFB"/>
    <w:rPr>
      <w:color w:val="0000FF"/>
      <w:u w:val="single"/>
    </w:rPr>
  </w:style>
  <w:style w:type="paragraph" w:customStyle="1" w:styleId="Default">
    <w:name w:val="Default"/>
    <w:rsid w:val="00232CBE"/>
    <w:pPr>
      <w:autoSpaceDE w:val="0"/>
      <w:autoSpaceDN w:val="0"/>
      <w:adjustRightInd w:val="0"/>
    </w:pPr>
    <w:rPr>
      <w:rFonts w:ascii="Arial" w:hAnsi="Arial" w:cs="Arial"/>
      <w:color w:val="000000"/>
      <w:sz w:val="24"/>
      <w:szCs w:val="24"/>
      <w:lang w:val="ru-RU" w:eastAsia="ru-RU"/>
    </w:rPr>
  </w:style>
  <w:style w:type="paragraph" w:customStyle="1" w:styleId="m973513010505462200xfmc1">
    <w:name w:val="m_973513010505462200xfmc1"/>
    <w:basedOn w:val="Normal"/>
    <w:rsid w:val="00D16669"/>
    <w:pPr>
      <w:autoSpaceDE/>
      <w:autoSpaceDN/>
      <w:adjustRightInd/>
      <w:spacing w:before="100" w:beforeAutospacing="1" w:after="100" w:afterAutospacing="1"/>
    </w:pPr>
    <w:rPr>
      <w:sz w:val="24"/>
      <w:szCs w:val="24"/>
      <w:lang w:val="uk-UA" w:eastAsia="uk-UA"/>
    </w:rPr>
  </w:style>
  <w:style w:type="paragraph" w:styleId="NormalWeb">
    <w:name w:val="Normal (Web)"/>
    <w:basedOn w:val="Normal"/>
    <w:uiPriority w:val="99"/>
    <w:unhideWhenUsed/>
    <w:rsid w:val="0053622A"/>
    <w:pPr>
      <w:autoSpaceDE/>
      <w:autoSpaceDN/>
      <w:adjustRightInd/>
      <w:spacing w:before="100" w:beforeAutospacing="1" w:after="100" w:afterAutospacing="1"/>
      <w:jc w:val="both"/>
    </w:pPr>
    <w:rPr>
      <w:sz w:val="24"/>
      <w:szCs w:val="24"/>
      <w:lang w:val="uk-UA" w:eastAsia="uk-UA"/>
    </w:rPr>
  </w:style>
  <w:style w:type="character" w:styleId="Strong">
    <w:name w:val="Strong"/>
    <w:uiPriority w:val="22"/>
    <w:qFormat/>
    <w:rsid w:val="0053622A"/>
    <w:rPr>
      <w:b/>
      <w:bCs/>
    </w:rPr>
  </w:style>
  <w:style w:type="character" w:styleId="Emphasis">
    <w:name w:val="Emphasis"/>
    <w:uiPriority w:val="20"/>
    <w:qFormat/>
    <w:rsid w:val="0053622A"/>
    <w:rPr>
      <w:i/>
      <w:iCs/>
    </w:rPr>
  </w:style>
  <w:style w:type="character" w:customStyle="1" w:styleId="markedcontent">
    <w:name w:val="markedcontent"/>
    <w:rsid w:val="00644E62"/>
  </w:style>
  <w:style w:type="table" w:styleId="TableGrid">
    <w:name w:val="Table Grid"/>
    <w:basedOn w:val="TableNormal"/>
    <w:rsid w:val="00D1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D14A63"/>
    <w:pPr>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7B5471"/>
    <w:rPr>
      <w:rFonts w:ascii="Segoe UI" w:hAnsi="Segoe UI" w:cs="Segoe UI"/>
      <w:sz w:val="18"/>
      <w:szCs w:val="18"/>
    </w:rPr>
  </w:style>
  <w:style w:type="character" w:customStyle="1" w:styleId="BalloonTextChar">
    <w:name w:val="Balloon Text Char"/>
    <w:link w:val="BalloonText"/>
    <w:rsid w:val="007B5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A5EA-112C-4876-807B-241DC9D6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2656</Words>
  <Characters>1514</Characters>
  <Application>Microsoft Office Word</Application>
  <DocSecurity>0</DocSecurity>
  <Lines>12</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INR</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Oleg</dc:creator>
  <cp:keywords/>
  <cp:lastModifiedBy>Vladimir</cp:lastModifiedBy>
  <cp:revision>2</cp:revision>
  <cp:lastPrinted>2022-06-05T10:17:00Z</cp:lastPrinted>
  <dcterms:created xsi:type="dcterms:W3CDTF">2025-04-01T12:41:00Z</dcterms:created>
  <dcterms:modified xsi:type="dcterms:W3CDTF">2025-04-01T12:41:00Z</dcterms:modified>
</cp:coreProperties>
</file>