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1820A" w14:textId="70599987" w:rsidR="008B3DCA" w:rsidRPr="008B3DCA" w:rsidRDefault="00603E17" w:rsidP="00603E17">
      <w:pPr>
        <w:widowControl w:val="0"/>
        <w:spacing w:after="0" w:line="240" w:lineRule="auto"/>
        <w:jc w:val="center"/>
        <w:rPr>
          <w:rFonts w:asciiTheme="minorHAnsi" w:hAnsiTheme="minorHAnsi" w:cstheme="minorHAnsi"/>
          <w:b/>
        </w:rPr>
      </w:pPr>
      <m:oMath>
        <m:sSubSup>
          <m:sSubSupPr>
            <m:ctrlPr>
              <w:rPr>
                <w:rFonts w:ascii="Cambria Math" w:hAnsi="Cambria Math" w:cstheme="minorHAnsi"/>
                <w:b/>
                <w:i/>
              </w:rPr>
            </m:ctrlPr>
          </m:sSubSupPr>
          <m:e>
            <m:r>
              <m:rPr>
                <m:sty m:val="bi"/>
              </m:rPr>
              <w:rPr>
                <w:rFonts w:ascii="Cambria Math" w:hAnsi="Cambria Math" w:cstheme="minorHAnsi"/>
              </w:rPr>
              <m:t>K</m:t>
            </m:r>
          </m:e>
          <m:sub>
            <m:r>
              <m:rPr>
                <m:sty m:val="bi"/>
              </m:rPr>
              <w:rPr>
                <w:rFonts w:ascii="Cambria Math" w:hAnsi="Cambria Math" w:cstheme="minorHAnsi"/>
              </w:rPr>
              <m:t>S</m:t>
            </m:r>
          </m:sub>
          <m:sup>
            <m:r>
              <m:rPr>
                <m:sty m:val="bi"/>
              </m:rPr>
              <w:rPr>
                <w:rFonts w:ascii="Cambria Math" w:hAnsi="Cambria Math" w:cstheme="minorHAnsi"/>
              </w:rPr>
              <m:t>0</m:t>
            </m:r>
          </m:sup>
        </m:sSubSup>
      </m:oMath>
      <w:r w:rsidRPr="008B3DCA">
        <w:rPr>
          <w:rFonts w:asciiTheme="minorHAnsi" w:hAnsiTheme="minorHAnsi" w:cstheme="minorHAnsi"/>
          <w:b/>
        </w:rPr>
        <w:t xml:space="preserve"> AND Λ HADRONS PRODUCTION IN</w:t>
      </w:r>
    </w:p>
    <w:p w14:paraId="61868DED" w14:textId="42BE416F" w:rsidR="008B3DCA" w:rsidRPr="008B3DCA" w:rsidRDefault="00603E17" w:rsidP="008B3DCA">
      <w:pPr>
        <w:widowControl w:val="0"/>
        <w:spacing w:after="0" w:line="240" w:lineRule="auto"/>
        <w:jc w:val="center"/>
        <w:rPr>
          <w:rFonts w:asciiTheme="minorHAnsi" w:hAnsiTheme="minorHAnsi" w:cstheme="minorHAnsi"/>
          <w:b/>
        </w:rPr>
      </w:pPr>
      <w:r w:rsidRPr="008B3DCA">
        <w:rPr>
          <w:rFonts w:asciiTheme="minorHAnsi" w:hAnsiTheme="minorHAnsi" w:cstheme="minorHAnsi"/>
          <w:b/>
        </w:rPr>
        <w:t>PROTON-PROTON AND PROTON-LEAD</w:t>
      </w:r>
    </w:p>
    <w:p w14:paraId="01FFA434" w14:textId="2FCBE63C" w:rsidR="008B3DCA" w:rsidRPr="008B3DCA" w:rsidRDefault="00603E17" w:rsidP="008B3DCA">
      <w:pPr>
        <w:widowControl w:val="0"/>
        <w:spacing w:after="0" w:line="240" w:lineRule="auto"/>
        <w:jc w:val="center"/>
        <w:rPr>
          <w:rFonts w:asciiTheme="minorHAnsi" w:hAnsiTheme="minorHAnsi" w:cstheme="minorHAnsi"/>
          <w:b/>
        </w:rPr>
      </w:pPr>
      <w:r w:rsidRPr="008B3DCA">
        <w:rPr>
          <w:rFonts w:asciiTheme="minorHAnsi" w:hAnsiTheme="minorHAnsi" w:cstheme="minorHAnsi"/>
          <w:b/>
        </w:rPr>
        <w:t>COLLISIONS AT 5.02TEV STUDIED WITH</w:t>
      </w:r>
    </w:p>
    <w:p w14:paraId="6305E37A" w14:textId="590C5996" w:rsidR="008B3DCA" w:rsidRPr="00AA4A27" w:rsidRDefault="00603E17" w:rsidP="008B3DCA">
      <w:pPr>
        <w:widowControl w:val="0"/>
        <w:spacing w:after="0" w:line="240" w:lineRule="auto"/>
        <w:jc w:val="center"/>
        <w:rPr>
          <w:rFonts w:asciiTheme="minorHAnsi" w:hAnsiTheme="minorHAnsi" w:cstheme="minorHAnsi"/>
          <w:b/>
        </w:rPr>
      </w:pPr>
      <w:r w:rsidRPr="008B3DCA">
        <w:rPr>
          <w:rFonts w:asciiTheme="minorHAnsi" w:hAnsiTheme="minorHAnsi" w:cstheme="minorHAnsi"/>
          <w:b/>
        </w:rPr>
        <w:t>THE LHCB DETECTOR</w:t>
      </w:r>
    </w:p>
    <w:p w14:paraId="6A58022E" w14:textId="77777777" w:rsidR="0041707F" w:rsidRPr="00AA4A27" w:rsidRDefault="0041707F" w:rsidP="0041707F">
      <w:pPr>
        <w:widowControl w:val="0"/>
        <w:spacing w:after="0" w:line="240" w:lineRule="auto"/>
        <w:jc w:val="center"/>
        <w:rPr>
          <w:rFonts w:asciiTheme="minorHAnsi" w:hAnsiTheme="minorHAnsi" w:cstheme="minorHAnsi"/>
          <w:b/>
        </w:rPr>
      </w:pPr>
    </w:p>
    <w:p w14:paraId="4D58952C" w14:textId="77777777" w:rsidR="0041707F" w:rsidRPr="00AA4A27" w:rsidRDefault="0041707F" w:rsidP="0041707F">
      <w:pPr>
        <w:widowControl w:val="0"/>
        <w:spacing w:after="0" w:line="240" w:lineRule="auto"/>
        <w:jc w:val="center"/>
        <w:rPr>
          <w:rFonts w:asciiTheme="minorHAnsi" w:hAnsiTheme="minorHAnsi" w:cstheme="minorHAnsi"/>
          <w:b/>
        </w:rPr>
      </w:pPr>
      <w:r w:rsidRPr="00AA4A27">
        <w:rPr>
          <w:rFonts w:asciiTheme="minorHAnsi" w:hAnsiTheme="minorHAnsi" w:cstheme="minorHAnsi"/>
          <w:b/>
        </w:rPr>
        <w:t>S. Koliiev</w:t>
      </w:r>
      <w:r w:rsidR="001F3BC7" w:rsidRPr="00AA4A27">
        <w:rPr>
          <w:rFonts w:asciiTheme="minorHAnsi" w:hAnsiTheme="minorHAnsi" w:cstheme="minorHAnsi"/>
          <w:b/>
          <w:vertAlign w:val="superscript"/>
        </w:rPr>
        <w:t>1</w:t>
      </w:r>
      <w:r w:rsidRPr="00AA4A27">
        <w:rPr>
          <w:rFonts w:asciiTheme="minorHAnsi" w:hAnsiTheme="minorHAnsi" w:cstheme="minorHAnsi"/>
          <w:b/>
        </w:rPr>
        <w:t>, O. Kot</w:t>
      </w:r>
      <w:r w:rsidR="001F3BC7" w:rsidRPr="00AA4A27">
        <w:rPr>
          <w:rFonts w:asciiTheme="minorHAnsi" w:hAnsiTheme="minorHAnsi" w:cstheme="minorHAnsi"/>
          <w:b/>
          <w:vertAlign w:val="superscript"/>
        </w:rPr>
        <w:t>1</w:t>
      </w:r>
      <w:r w:rsidRPr="00AA4A27">
        <w:rPr>
          <w:rFonts w:asciiTheme="minorHAnsi" w:hAnsiTheme="minorHAnsi" w:cstheme="minorHAnsi"/>
          <w:b/>
        </w:rPr>
        <w:t>, O. Okhrimenko</w:t>
      </w:r>
      <w:r w:rsidR="001F3BC7" w:rsidRPr="00AA4A27">
        <w:rPr>
          <w:rFonts w:asciiTheme="minorHAnsi" w:hAnsiTheme="minorHAnsi" w:cstheme="minorHAnsi"/>
          <w:b/>
          <w:vertAlign w:val="superscript"/>
        </w:rPr>
        <w:t>1</w:t>
      </w:r>
      <w:r w:rsidRPr="00AA4A27">
        <w:rPr>
          <w:rFonts w:asciiTheme="minorHAnsi" w:hAnsiTheme="minorHAnsi" w:cstheme="minorHAnsi"/>
          <w:b/>
        </w:rPr>
        <w:t>, I. Petrenko</w:t>
      </w:r>
      <w:r w:rsidR="001F3BC7" w:rsidRPr="00AA4A27">
        <w:rPr>
          <w:rFonts w:asciiTheme="minorHAnsi" w:hAnsiTheme="minorHAnsi" w:cstheme="minorHAnsi"/>
          <w:b/>
          <w:vertAlign w:val="superscript"/>
        </w:rPr>
        <w:t>1</w:t>
      </w:r>
      <w:r w:rsidRPr="00AA4A27">
        <w:rPr>
          <w:rFonts w:asciiTheme="minorHAnsi" w:hAnsiTheme="minorHAnsi" w:cstheme="minorHAnsi"/>
          <w:b/>
        </w:rPr>
        <w:t>, V. Pugatch</w:t>
      </w:r>
      <w:r w:rsidR="001F3BC7" w:rsidRPr="00AA4A27">
        <w:rPr>
          <w:rFonts w:asciiTheme="minorHAnsi" w:hAnsiTheme="minorHAnsi" w:cstheme="minorHAnsi"/>
          <w:b/>
          <w:vertAlign w:val="superscript"/>
        </w:rPr>
        <w:t>1</w:t>
      </w:r>
    </w:p>
    <w:p w14:paraId="5A5F997E" w14:textId="77777777" w:rsidR="00E21E91" w:rsidRPr="00AA4A27" w:rsidRDefault="00E21E91" w:rsidP="00E21E91">
      <w:pPr>
        <w:pStyle w:val="a3"/>
        <w:widowControl w:val="0"/>
        <w:suppressAutoHyphens w:val="0"/>
        <w:jc w:val="center"/>
        <w:rPr>
          <w:rFonts w:asciiTheme="minorHAnsi" w:hAnsiTheme="minorHAnsi" w:cstheme="minorHAnsi"/>
        </w:rPr>
      </w:pPr>
      <w:r w:rsidRPr="00AA4A27">
        <w:rPr>
          <w:rStyle w:val="a4"/>
          <w:rFonts w:asciiTheme="minorHAnsi" w:hAnsiTheme="minorHAnsi" w:cstheme="minorHAnsi"/>
          <w:i/>
          <w:iCs/>
          <w:vertAlign w:val="superscript"/>
        </w:rPr>
        <w:t>1</w:t>
      </w:r>
      <w:r w:rsidRPr="00AA4A27">
        <w:rPr>
          <w:rStyle w:val="a4"/>
          <w:rFonts w:asciiTheme="minorHAnsi" w:hAnsiTheme="minorHAnsi" w:cstheme="minorHAnsi"/>
          <w:i/>
          <w:iCs/>
          <w:vertAlign w:val="superscript"/>
          <w:lang w:val="uk-UA"/>
        </w:rPr>
        <w:t xml:space="preserve"> </w:t>
      </w:r>
      <w:r w:rsidRPr="00AA4A27">
        <w:rPr>
          <w:rStyle w:val="a4"/>
          <w:rFonts w:asciiTheme="minorHAnsi" w:hAnsiTheme="minorHAnsi" w:cstheme="minorHAnsi"/>
          <w:i/>
          <w:iCs/>
        </w:rPr>
        <w:t>Institute for Nuclear Research, National Academy of Sciences of Ukraine, Kyiv, Ukraine</w:t>
      </w:r>
    </w:p>
    <w:p w14:paraId="20904ED1" w14:textId="77777777" w:rsidR="00E978D4" w:rsidRPr="00AA4A27" w:rsidRDefault="00E978D4" w:rsidP="00E21E91">
      <w:pPr>
        <w:rPr>
          <w:rFonts w:asciiTheme="minorHAnsi" w:hAnsiTheme="minorHAnsi" w:cstheme="minorHAnsi"/>
          <w:lang w:val="fr-FR"/>
        </w:rPr>
      </w:pPr>
    </w:p>
    <w:p w14:paraId="5B2C6BCF" w14:textId="77777777" w:rsidR="00E978D4" w:rsidRPr="00AA4A27" w:rsidRDefault="00E978D4" w:rsidP="00AA4A27">
      <w:pPr>
        <w:spacing w:after="0"/>
        <w:ind w:firstLine="567"/>
        <w:jc w:val="both"/>
        <w:rPr>
          <w:rFonts w:asciiTheme="minorHAnsi" w:hAnsiTheme="minorHAnsi" w:cstheme="minorHAnsi"/>
          <w:sz w:val="24"/>
          <w:szCs w:val="24"/>
          <w:lang w:val="fr-FR"/>
        </w:rPr>
      </w:pPr>
      <w:r w:rsidRPr="00AA4A27">
        <w:rPr>
          <w:rFonts w:asciiTheme="minorHAnsi" w:hAnsiTheme="minorHAnsi" w:cstheme="minorHAnsi"/>
          <w:sz w:val="24"/>
          <w:szCs w:val="24"/>
          <w:lang w:val="fr-FR"/>
        </w:rPr>
        <w:t>The study of hadron production in a strongly interacting environment is expected to shed light on the quest of the partial restoration of chiral symmetry in hot/dense nuclear matter. A modification of hadron production features (differential cross-sections, mass and width, branching ratios, nuclear modification factors etc.) has been predicted by the Quantum Chromodynamics (QCD) models. The strength of the modification depends on the baryon density and the temperature. To identify signatures of the Quark-Gluon-Plasma (QGP) studies are undertaken to compare quarkonium production cross-sections measured in proton-proton (p-p), proton-nucleus (p-A) and nucleus-nucleus (A-A) collisions [1, 2]. Whilst the highest probability of QGP creation is expected in A-A collisions, it is assumed that the p-A collision proceeds in cold nuclear matter with a well-defined density, thus revealing the Cold Nuclear Matter effects (CNM) [3].</w:t>
      </w:r>
    </w:p>
    <w:p w14:paraId="5230D3C4" w14:textId="5A04C5E6" w:rsidR="00E978D4" w:rsidRPr="00AA4A27" w:rsidRDefault="00E978D4" w:rsidP="00AA4A27">
      <w:pPr>
        <w:spacing w:after="0"/>
        <w:ind w:firstLine="567"/>
        <w:jc w:val="both"/>
        <w:rPr>
          <w:rFonts w:asciiTheme="minorHAnsi" w:hAnsiTheme="minorHAnsi" w:cstheme="minorHAnsi"/>
          <w:sz w:val="24"/>
          <w:szCs w:val="24"/>
          <w:lang w:val="fr-FR"/>
        </w:rPr>
      </w:pPr>
      <w:r w:rsidRPr="00AA4A27">
        <w:rPr>
          <w:rFonts w:asciiTheme="minorHAnsi" w:hAnsiTheme="minorHAnsi" w:cstheme="minorHAnsi"/>
          <w:sz w:val="24"/>
          <w:szCs w:val="24"/>
          <w:lang w:val="fr-FR"/>
        </w:rPr>
        <w:t>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hadrons are named after the “V”-shaped track signature of thei</w:t>
      </w:r>
      <w:r w:rsidR="00FD1043" w:rsidRPr="00AA4A27">
        <w:rPr>
          <w:rFonts w:asciiTheme="minorHAnsi" w:hAnsiTheme="minorHAnsi" w:cstheme="minorHAnsi"/>
          <w:sz w:val="24"/>
          <w:szCs w:val="24"/>
          <w:lang w:val="fr-FR"/>
        </w:rPr>
        <w:t>r dominant decays: Λ → pπ</w:t>
      </w:r>
      <w:r w:rsidR="00FD1043" w:rsidRPr="00AA4A27">
        <w:rPr>
          <w:rFonts w:asciiTheme="minorHAnsi" w:hAnsiTheme="minorHAnsi" w:cstheme="minorHAnsi"/>
          <w:sz w:val="24"/>
          <w:szCs w:val="24"/>
          <w:vertAlign w:val="superscript"/>
          <w:lang w:val="fr-FR"/>
        </w:rPr>
        <w:t>−</w:t>
      </w:r>
      <w:r w:rsidR="00FD1043" w:rsidRPr="00AA4A27">
        <w:rPr>
          <w:rFonts w:asciiTheme="minorHAnsi" w:hAnsiTheme="minorHAnsi" w:cstheme="minorHAnsi"/>
          <w:sz w:val="24"/>
          <w:szCs w:val="24"/>
          <w:lang w:val="fr-FR"/>
        </w:rPr>
        <w:t xml:space="preserve">, </w:t>
      </w:r>
      <m:oMath>
        <m:acc>
          <m:accPr>
            <m:chr m:val="̅"/>
            <m:ctrlPr>
              <w:rPr>
                <w:rFonts w:ascii="Cambria Math" w:hAnsi="Cambria Math" w:cstheme="minorHAnsi"/>
                <w:sz w:val="24"/>
                <w:szCs w:val="24"/>
                <w:lang w:val="fr-FR"/>
              </w:rPr>
            </m:ctrlPr>
          </m:accPr>
          <m:e>
            <m:r>
              <m:rPr>
                <m:sty m:val="p"/>
              </m:rPr>
              <w:rPr>
                <w:rFonts w:ascii="Cambria Math" w:hAnsi="Cambria Math" w:cstheme="minorHAnsi"/>
                <w:sz w:val="24"/>
                <w:szCs w:val="24"/>
                <w:lang w:val="fr-FR"/>
              </w:rPr>
              <m:t>Λ</m:t>
            </m:r>
          </m:e>
        </m:acc>
      </m:oMath>
      <w:r w:rsidRPr="00AA4A27">
        <w:rPr>
          <w:rFonts w:asciiTheme="minorHAnsi" w:hAnsiTheme="minorHAnsi" w:cstheme="minorHAnsi"/>
          <w:sz w:val="24"/>
          <w:szCs w:val="24"/>
          <w:lang w:val="fr-FR"/>
        </w:rPr>
        <w:t xml:space="preserve">→ </w:t>
      </w:r>
      <m:oMath>
        <m:acc>
          <m:accPr>
            <m:chr m:val="̅"/>
            <m:ctrlPr>
              <w:rPr>
                <w:rFonts w:ascii="Cambria Math" w:hAnsi="Cambria Math" w:cstheme="minorHAnsi"/>
                <w:sz w:val="24"/>
                <w:szCs w:val="24"/>
                <w:lang w:val="fr-FR"/>
              </w:rPr>
            </m:ctrlPr>
          </m:accPr>
          <m:e>
            <m:r>
              <w:rPr>
                <w:rFonts w:ascii="Cambria Math" w:hAnsi="Cambria Math" w:cstheme="minorHAnsi"/>
                <w:sz w:val="24"/>
                <w:szCs w:val="24"/>
              </w:rPr>
              <m:t>p</m:t>
            </m:r>
          </m:e>
        </m:acc>
      </m:oMath>
      <w:r w:rsidR="00FD1043" w:rsidRPr="00AA4A27">
        <w:rPr>
          <w:rFonts w:asciiTheme="minorHAnsi" w:hAnsiTheme="minorHAnsi" w:cstheme="minorHAnsi"/>
          <w:sz w:val="24"/>
          <w:szCs w:val="24"/>
          <w:lang w:val="fr-FR"/>
        </w:rPr>
        <w:t xml:space="preserve"> </w:t>
      </w:r>
      <w:r w:rsidRPr="00AA4A27">
        <w:rPr>
          <w:rFonts w:asciiTheme="minorHAnsi" w:hAnsiTheme="minorHAnsi" w:cstheme="minorHAnsi"/>
          <w:sz w:val="24"/>
          <w:szCs w:val="24"/>
          <w:lang w:val="fr-FR"/>
        </w:rPr>
        <w:t>π</w:t>
      </w:r>
      <w:r w:rsidRPr="00AA4A27">
        <w:rPr>
          <w:rFonts w:asciiTheme="minorHAnsi" w:hAnsiTheme="minorHAnsi" w:cstheme="minorHAnsi"/>
          <w:sz w:val="24"/>
          <w:szCs w:val="24"/>
          <w:vertAlign w:val="superscript"/>
          <w:lang w:val="fr-FR"/>
        </w:rPr>
        <w:t>+</w:t>
      </w:r>
      <w:r w:rsidRPr="00AA4A27">
        <w:rPr>
          <w:rFonts w:asciiTheme="minorHAnsi" w:hAnsiTheme="minorHAnsi" w:cstheme="minorHAnsi"/>
          <w:sz w:val="24"/>
          <w:szCs w:val="24"/>
          <w:lang w:val="fr-FR"/>
        </w:rPr>
        <w:t xml:space="preserve"> and </w:t>
      </w:r>
      <m:oMath>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K</m:t>
            </m:r>
          </m:e>
          <m:sub>
            <m:r>
              <w:rPr>
                <w:rFonts w:ascii="Cambria Math" w:hAnsi="Cambria Math" w:cstheme="minorHAnsi"/>
                <w:sz w:val="24"/>
                <w:szCs w:val="24"/>
                <w:lang w:val="fr-FR"/>
              </w:rPr>
              <m:t>S</m:t>
            </m:r>
          </m:sub>
          <m:sup>
            <m:r>
              <w:rPr>
                <w:rFonts w:ascii="Cambria Math" w:hAnsi="Cambria Math" w:cstheme="minorHAnsi"/>
                <w:sz w:val="24"/>
                <w:szCs w:val="24"/>
                <w:lang w:val="fr-FR"/>
              </w:rPr>
              <m:t>0</m:t>
            </m:r>
          </m:sup>
        </m:sSubSup>
      </m:oMath>
      <w:r w:rsidRPr="00AA4A27">
        <w:rPr>
          <w:rFonts w:asciiTheme="minorHAnsi" w:hAnsiTheme="minorHAnsi" w:cstheme="minorHAnsi"/>
          <w:sz w:val="24"/>
          <w:szCs w:val="24"/>
          <w:lang w:val="fr-FR"/>
        </w:rPr>
        <w:t xml:space="preserve"> → π</w:t>
      </w:r>
      <w:r w:rsidRPr="00AA4A27">
        <w:rPr>
          <w:rFonts w:asciiTheme="minorHAnsi" w:hAnsiTheme="minorHAnsi" w:cstheme="minorHAnsi"/>
          <w:sz w:val="24"/>
          <w:szCs w:val="24"/>
          <w:vertAlign w:val="superscript"/>
          <w:lang w:val="fr-FR"/>
        </w:rPr>
        <w:t>+</w:t>
      </w:r>
      <w:r w:rsidRPr="00AA4A27">
        <w:rPr>
          <w:rFonts w:asciiTheme="minorHAnsi" w:hAnsiTheme="minorHAnsi" w:cstheme="minorHAnsi"/>
          <w:sz w:val="24"/>
          <w:szCs w:val="24"/>
          <w:lang w:val="fr-FR"/>
        </w:rPr>
        <w:t>π</w:t>
      </w:r>
      <w:r w:rsidRPr="00AA4A27">
        <w:rPr>
          <w:rFonts w:asciiTheme="minorHAnsi" w:hAnsiTheme="minorHAnsi" w:cstheme="minorHAnsi"/>
          <w:sz w:val="24"/>
          <w:szCs w:val="24"/>
          <w:vertAlign w:val="superscript"/>
          <w:lang w:val="fr-FR"/>
        </w:rPr>
        <w:t>−</w:t>
      </w:r>
      <w:r w:rsidRPr="00AA4A27">
        <w:rPr>
          <w:rFonts w:asciiTheme="minorHAnsi" w:hAnsiTheme="minorHAnsi" w:cstheme="minorHAnsi"/>
          <w:sz w:val="24"/>
          <w:szCs w:val="24"/>
          <w:lang w:val="fr-FR"/>
        </w:rPr>
        <w:t>, which are present in this analysis. Only long (passing through all Tracker station) tracks, with a quality factor χ</w:t>
      </w:r>
      <w:r w:rsidRPr="00AA4A27">
        <w:rPr>
          <w:rFonts w:asciiTheme="minorHAnsi" w:hAnsiTheme="minorHAnsi" w:cstheme="minorHAnsi"/>
          <w:sz w:val="24"/>
          <w:szCs w:val="24"/>
          <w:vertAlign w:val="superscript"/>
          <w:lang w:val="fr-FR"/>
        </w:rPr>
        <w:t>2</w:t>
      </w:r>
      <w:r w:rsidRPr="00AA4A27">
        <w:rPr>
          <w:rFonts w:asciiTheme="minorHAnsi" w:hAnsiTheme="minorHAnsi" w:cstheme="minorHAnsi"/>
          <w:sz w:val="24"/>
          <w:szCs w:val="24"/>
          <w:vertAlign w:val="subscript"/>
          <w:lang w:val="fr-FR"/>
        </w:rPr>
        <w:t>track</w:t>
      </w:r>
      <w:r w:rsidRPr="00AA4A27">
        <w:rPr>
          <w:rFonts w:asciiTheme="minorHAnsi" w:hAnsiTheme="minorHAnsi" w:cstheme="minorHAnsi"/>
          <w:sz w:val="24"/>
          <w:szCs w:val="24"/>
          <w:lang w:val="fr-FR"/>
        </w:rPr>
        <w:t>/ndf &lt; 5, are considered, with the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decaying within the VELO and the daughter tracks being fully reconstructed in the spectrometer with momentum p &gt; 2GeV/c. Any oppositely-charged pair is kept as a potential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candidate if they form a vertex with a good quality of χ</w:t>
      </w:r>
      <w:r w:rsidRPr="00AA4A27">
        <w:rPr>
          <w:rFonts w:asciiTheme="minorHAnsi" w:hAnsiTheme="minorHAnsi" w:cstheme="minorHAnsi"/>
          <w:sz w:val="24"/>
          <w:szCs w:val="24"/>
          <w:vertAlign w:val="superscript"/>
          <w:lang w:val="fr-FR"/>
        </w:rPr>
        <w:t>2</w:t>
      </w:r>
      <w:r w:rsidRPr="00AA4A27">
        <w:rPr>
          <w:rFonts w:asciiTheme="minorHAnsi" w:hAnsiTheme="minorHAnsi" w:cstheme="minorHAnsi"/>
          <w:sz w:val="24"/>
          <w:szCs w:val="24"/>
          <w:vertAlign w:val="subscript"/>
          <w:lang w:val="fr-FR"/>
        </w:rPr>
        <w:t>vtx</w:t>
      </w:r>
      <w:r w:rsidRPr="00AA4A27">
        <w:rPr>
          <w:rFonts w:asciiTheme="minorHAnsi" w:hAnsiTheme="minorHAnsi" w:cstheme="minorHAnsi"/>
          <w:sz w:val="24"/>
          <w:szCs w:val="24"/>
          <w:lang w:val="fr-FR"/>
        </w:rPr>
        <w:t xml:space="preserve"> &lt; 9 (with one degree of freedom for a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vertex). The Λ+</w:t>
      </w:r>
      <m:oMath>
        <m:acc>
          <m:accPr>
            <m:chr m:val="̅"/>
            <m:ctrlPr>
              <w:rPr>
                <w:rFonts w:ascii="Cambria Math" w:hAnsi="Cambria Math" w:cstheme="minorHAnsi"/>
                <w:sz w:val="24"/>
                <w:szCs w:val="24"/>
                <w:lang w:val="fr-FR"/>
              </w:rPr>
            </m:ctrlPr>
          </m:accPr>
          <m:e>
            <m:r>
              <m:rPr>
                <m:sty m:val="p"/>
              </m:rPr>
              <w:rPr>
                <w:rFonts w:ascii="Cambria Math" w:hAnsi="Cambria Math" w:cstheme="minorHAnsi"/>
                <w:sz w:val="24"/>
                <w:szCs w:val="24"/>
                <w:lang w:val="fr-FR"/>
              </w:rPr>
              <m:t>Λ</m:t>
            </m:r>
          </m:e>
        </m:acc>
      </m:oMath>
      <w:r w:rsidR="00FD1043" w:rsidRPr="00AA4A27">
        <w:rPr>
          <w:rFonts w:asciiTheme="minorHAnsi" w:hAnsiTheme="minorHAnsi" w:cstheme="minorHAnsi"/>
          <w:sz w:val="24"/>
          <w:szCs w:val="24"/>
          <w:lang w:val="fr-FR"/>
        </w:rPr>
        <w:t xml:space="preserve"> </w:t>
      </w:r>
      <w:r w:rsidRPr="00AA4A27">
        <w:rPr>
          <w:rFonts w:asciiTheme="minorHAnsi" w:hAnsiTheme="minorHAnsi" w:cstheme="minorHAnsi"/>
          <w:sz w:val="24"/>
          <w:szCs w:val="24"/>
          <w:lang w:val="fr-FR"/>
        </w:rPr>
        <w:t xml:space="preserve">candidates are required to have invariant masses within ±70MeV/c2 and </w:t>
      </w:r>
      <m:oMath>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K</m:t>
            </m:r>
          </m:e>
          <m:sub>
            <m:r>
              <w:rPr>
                <w:rFonts w:ascii="Cambria Math" w:hAnsi="Cambria Math" w:cstheme="minorHAnsi"/>
                <w:sz w:val="24"/>
                <w:szCs w:val="24"/>
                <w:lang w:val="fr-FR"/>
              </w:rPr>
              <m:t>S</m:t>
            </m:r>
          </m:sub>
          <m:sup>
            <m:r>
              <w:rPr>
                <w:rFonts w:ascii="Cambria Math" w:hAnsi="Cambria Math" w:cstheme="minorHAnsi"/>
                <w:sz w:val="24"/>
                <w:szCs w:val="24"/>
                <w:lang w:val="fr-FR"/>
              </w:rPr>
              <m:t>0</m:t>
            </m:r>
          </m:sup>
        </m:sSubSup>
      </m:oMath>
      <w:r w:rsidRPr="00AA4A27">
        <w:rPr>
          <w:rFonts w:asciiTheme="minorHAnsi" w:hAnsiTheme="minorHAnsi" w:cstheme="minorHAnsi"/>
          <w:sz w:val="24"/>
          <w:szCs w:val="24"/>
          <w:lang w:val="fr-FR"/>
        </w:rPr>
        <w:t xml:space="preserve"> within ±100MeV/c2 of the PDG corresponding values [</w:t>
      </w:r>
      <w:r w:rsidR="00AA4A27">
        <w:rPr>
          <w:rFonts w:asciiTheme="minorHAnsi" w:hAnsiTheme="minorHAnsi" w:cstheme="minorHAnsi"/>
          <w:sz w:val="24"/>
          <w:szCs w:val="24"/>
          <w:lang w:val="uk-UA"/>
        </w:rPr>
        <w:t>4</w:t>
      </w:r>
      <w:r w:rsidRPr="00AA4A27">
        <w:rPr>
          <w:rFonts w:asciiTheme="minorHAnsi" w:hAnsiTheme="minorHAnsi" w:cstheme="minorHAnsi"/>
          <w:sz w:val="24"/>
          <w:szCs w:val="24"/>
          <w:lang w:val="fr-FR"/>
        </w:rPr>
        <w:t>]. The mass windows are made large in comparison with a mass resolution of few MeV/c2 to allow reliable subtraction of the background under the peak.</w:t>
      </w:r>
      <w:r w:rsidR="00E409C1" w:rsidRPr="00AA4A27">
        <w:rPr>
          <w:rFonts w:asciiTheme="minorHAnsi" w:hAnsiTheme="minorHAnsi" w:cstheme="minorHAnsi"/>
          <w:sz w:val="24"/>
          <w:szCs w:val="24"/>
          <w:lang w:val="fr-FR"/>
        </w:rPr>
        <w:t xml:space="preserve"> </w:t>
      </w:r>
      <w:r w:rsidRPr="00AA4A27">
        <w:rPr>
          <w:rFonts w:asciiTheme="minorHAnsi" w:hAnsiTheme="minorHAnsi" w:cstheme="minorHAnsi"/>
          <w:sz w:val="24"/>
          <w:szCs w:val="24"/>
          <w:lang w:val="fr-FR"/>
        </w:rPr>
        <w:t>The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production differential cross-sections measured with LHCb forward spectrometer in p-p and p-Pb collisions at √</w:t>
      </w:r>
      <w:r w:rsidR="00461D8B" w:rsidRPr="00AA4A27">
        <w:rPr>
          <w:rFonts w:asciiTheme="minorHAnsi" w:hAnsiTheme="minorHAnsi" w:cstheme="minorHAnsi"/>
          <w:sz w:val="24"/>
          <w:szCs w:val="24"/>
          <w:lang w:val="fr-FR"/>
        </w:rPr>
        <w:t>S</w:t>
      </w:r>
      <w:r w:rsidRPr="00AA4A27">
        <w:rPr>
          <w:rFonts w:asciiTheme="minorHAnsi" w:hAnsiTheme="minorHAnsi" w:cstheme="minorHAnsi"/>
          <w:sz w:val="24"/>
          <w:szCs w:val="24"/>
          <w:vertAlign w:val="subscript"/>
          <w:lang w:val="fr-FR"/>
        </w:rPr>
        <w:t>NN</w:t>
      </w:r>
      <w:r w:rsidRPr="00AA4A27">
        <w:rPr>
          <w:rFonts w:asciiTheme="minorHAnsi" w:hAnsiTheme="minorHAnsi" w:cstheme="minorHAnsi"/>
          <w:sz w:val="24"/>
          <w:szCs w:val="24"/>
          <w:lang w:val="fr-FR"/>
        </w:rPr>
        <w:t xml:space="preserve"> = 5.02TeV are presented for transverse momentum range 0.15 &lt; pT &lt; 7.0GeV/c and rapidity ranges 1.5 &lt; y</w:t>
      </w:r>
      <w:r w:rsidRPr="00AA4A27">
        <w:rPr>
          <w:rFonts w:ascii="Cambria Math" w:hAnsi="Cambria Math" w:cs="Cambria Math"/>
          <w:sz w:val="24"/>
          <w:szCs w:val="24"/>
          <w:lang w:val="fr-FR"/>
        </w:rPr>
        <w:t>∗</w:t>
      </w:r>
      <w:r w:rsidRPr="00AA4A27">
        <w:rPr>
          <w:rFonts w:asciiTheme="minorHAnsi" w:hAnsiTheme="minorHAnsi" w:cstheme="minorHAnsi"/>
          <w:sz w:val="24"/>
          <w:szCs w:val="24"/>
          <w:lang w:val="fr-FR"/>
        </w:rPr>
        <w:t xml:space="preserve"> &lt; 4.0 and −5.0 &lt; y</w:t>
      </w:r>
      <w:r w:rsidRPr="00AA4A27">
        <w:rPr>
          <w:rFonts w:ascii="Cambria Math" w:hAnsi="Cambria Math" w:cs="Cambria Math"/>
          <w:sz w:val="24"/>
          <w:szCs w:val="24"/>
          <w:lang w:val="fr-FR"/>
        </w:rPr>
        <w:t>∗</w:t>
      </w:r>
      <w:r w:rsidRPr="00AA4A27">
        <w:rPr>
          <w:rFonts w:asciiTheme="minorHAnsi" w:hAnsiTheme="minorHAnsi" w:cstheme="minorHAnsi"/>
          <w:sz w:val="24"/>
          <w:szCs w:val="24"/>
          <w:lang w:val="fr-FR"/>
        </w:rPr>
        <w:t xml:space="preserve"> &lt; −2.5. The absolute values of differential cross-sections are measured for the first time in this rapidity ranges.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hadrons, produced in strong interactions, include strange quark weakly decaying to final states which are comparatively easy for theoretical calculations as well as for experimental reconstruction. The ratios of prompt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production cross-sections as well as nuclear modification factors were calculated in order to study the fundamental (QCD) processes behind parton fragmentation and hadronisation. These values are essential to study the transport of baryon number from p-p collisions to final state hadrons as well as the baryon-meson suppression factor in strange quark hadronisation.</w:t>
      </w:r>
    </w:p>
    <w:p w14:paraId="3638F1CD" w14:textId="77777777" w:rsidR="00E978D4" w:rsidRPr="00AA4A27" w:rsidRDefault="00E978D4" w:rsidP="00AA4A27">
      <w:pPr>
        <w:spacing w:after="0"/>
        <w:ind w:firstLine="567"/>
        <w:jc w:val="both"/>
        <w:rPr>
          <w:rFonts w:asciiTheme="minorHAnsi" w:hAnsiTheme="minorHAnsi" w:cstheme="minorHAnsi"/>
          <w:sz w:val="24"/>
          <w:szCs w:val="24"/>
          <w:lang w:val="fr-FR"/>
        </w:rPr>
      </w:pPr>
      <w:r w:rsidRPr="00AA4A27">
        <w:rPr>
          <w:rFonts w:asciiTheme="minorHAnsi" w:hAnsiTheme="minorHAnsi" w:cstheme="minorHAnsi"/>
          <w:sz w:val="24"/>
          <w:szCs w:val="24"/>
          <w:lang w:val="fr-FR"/>
        </w:rPr>
        <w:t>The nuclear modification factors (RpPb) are calculated using the formula:</w:t>
      </w:r>
      <w:bookmarkStart w:id="0" w:name="_GoBack"/>
      <w:bookmarkEnd w:id="0"/>
    </w:p>
    <w:p w14:paraId="41A11905" w14:textId="77777777" w:rsidR="003774D6" w:rsidRPr="00AA4A27" w:rsidRDefault="003774D6" w:rsidP="003774D6">
      <w:pPr>
        <w:pStyle w:val="Default"/>
        <w:ind w:firstLine="567"/>
        <w:jc w:val="center"/>
        <w:rPr>
          <w:rFonts w:asciiTheme="minorHAnsi" w:hAnsiTheme="minorHAnsi" w:cstheme="minorHAnsi"/>
          <w:lang w:val="fr-FR"/>
        </w:rPr>
      </w:pPr>
      <w:r w:rsidRPr="00AA4A27">
        <w:t>𝑅</w:t>
      </w:r>
      <w:r w:rsidRPr="00AA4A27">
        <w:rPr>
          <w:vertAlign w:val="subscript"/>
        </w:rPr>
        <w:t>𝑝𝑃𝑏</w:t>
      </w:r>
      <w:r w:rsidRPr="00AA4A27">
        <w:rPr>
          <w:rFonts w:asciiTheme="minorHAnsi" w:hAnsiTheme="minorHAnsi" w:cstheme="minorHAnsi"/>
          <w:vertAlign w:val="subscript"/>
          <w:lang w:val="fr-FR"/>
        </w:rPr>
        <w:t>(</w:t>
      </w:r>
      <w:r w:rsidRPr="00AA4A27">
        <w:rPr>
          <w:vertAlign w:val="subscript"/>
        </w:rPr>
        <w:t>𝑃𝑏𝑝</w:t>
      </w:r>
      <w:r w:rsidRPr="00AA4A27">
        <w:rPr>
          <w:rFonts w:asciiTheme="minorHAnsi" w:hAnsiTheme="minorHAnsi" w:cstheme="minorHAnsi"/>
          <w:vertAlign w:val="subscript"/>
          <w:lang w:val="fr-FR"/>
        </w:rPr>
        <w:t>)</w:t>
      </w:r>
      <w:r w:rsidRPr="00AA4A27">
        <w:rPr>
          <w:rFonts w:asciiTheme="minorHAnsi" w:hAnsiTheme="minorHAnsi" w:cstheme="minorHAnsi"/>
          <w:lang w:val="fr-FR"/>
        </w:rPr>
        <w:t xml:space="preserve">= </w:t>
      </w:r>
      <m:oMath>
        <m:f>
          <m:fPr>
            <m:ctrlPr>
              <w:rPr>
                <w:rFonts w:cstheme="minorHAnsi"/>
                <w:i/>
              </w:rPr>
            </m:ctrlPr>
          </m:fPr>
          <m:num>
            <m:f>
              <m:fPr>
                <m:ctrlPr>
                  <w:rPr>
                    <w:rFonts w:cstheme="minorHAnsi"/>
                    <w:i/>
                  </w:rPr>
                </m:ctrlPr>
              </m:fPr>
              <m:num>
                <m:r>
                  <w:rPr>
                    <w:rFonts w:cstheme="minorHAnsi"/>
                    <w:lang w:val="fr-FR"/>
                  </w:rPr>
                  <m:t>1</m:t>
                </m:r>
              </m:num>
              <m:den>
                <m:r>
                  <w:rPr>
                    <w:rFonts w:cstheme="minorHAnsi"/>
                  </w:rPr>
                  <m:t>A</m:t>
                </m:r>
              </m:den>
            </m:f>
            <m:f>
              <m:fPr>
                <m:ctrlPr>
                  <w:rPr>
                    <w:rFonts w:cstheme="minorHAnsi"/>
                    <w:i/>
                  </w:rPr>
                </m:ctrlPr>
              </m:fPr>
              <m:num>
                <m:sSup>
                  <m:sSupPr>
                    <m:ctrlPr>
                      <w:rPr>
                        <w:rFonts w:cstheme="minorHAnsi"/>
                        <w:vertAlign w:val="superscript"/>
                      </w:rPr>
                    </m:ctrlPr>
                  </m:sSupPr>
                  <m:e>
                    <m:r>
                      <m:rPr>
                        <m:sty m:val="p"/>
                      </m:rPr>
                      <w:rPr>
                        <w:rFonts w:cstheme="minorHAnsi"/>
                        <w:lang w:val="fr-FR"/>
                      </w:rPr>
                      <m:t>∂</m:t>
                    </m:r>
                  </m:e>
                  <m:sup>
                    <m:r>
                      <w:rPr>
                        <w:rFonts w:cstheme="minorHAnsi"/>
                        <w:vertAlign w:val="superscript"/>
                        <w:lang w:val="fr-FR"/>
                      </w:rPr>
                      <m:t>2</m:t>
                    </m:r>
                  </m:sup>
                </m:sSup>
                <m:sSub>
                  <m:sSubPr>
                    <m:ctrlPr>
                      <w:rPr>
                        <w:rFonts w:cstheme="minorHAnsi"/>
                      </w:rPr>
                    </m:ctrlPr>
                  </m:sSubPr>
                  <m:e>
                    <m:r>
                      <m:rPr>
                        <m:sty m:val="p"/>
                      </m:rPr>
                      <w:rPr>
                        <w:rFonts w:cstheme="minorHAnsi"/>
                      </w:rPr>
                      <m:t>σ</m:t>
                    </m:r>
                  </m:e>
                  <m:sub>
                    <m:r>
                      <m:rPr>
                        <m:sty m:val="p"/>
                      </m:rPr>
                      <w:rPr>
                        <w:rFonts w:cstheme="minorHAnsi"/>
                        <w:vertAlign w:val="subscript"/>
                        <w:lang w:val="fr-FR"/>
                      </w:rPr>
                      <m:t>pPb(Pbp)</m:t>
                    </m:r>
                  </m:sub>
                </m:sSub>
              </m:num>
              <m:den>
                <m:r>
                  <m:rPr>
                    <m:sty m:val="p"/>
                  </m:rPr>
                  <w:rPr>
                    <w:rFonts w:cstheme="minorHAnsi"/>
                    <w:lang w:val="fr-FR"/>
                  </w:rPr>
                  <m:t>∂pT∂y</m:t>
                </m:r>
              </m:den>
            </m:f>
          </m:num>
          <m:den>
            <m:f>
              <m:fPr>
                <m:ctrlPr>
                  <w:rPr>
                    <w:rFonts w:cstheme="minorHAnsi"/>
                    <w:i/>
                  </w:rPr>
                </m:ctrlPr>
              </m:fPr>
              <m:num>
                <m:sSup>
                  <m:sSupPr>
                    <m:ctrlPr>
                      <w:rPr>
                        <w:rFonts w:cstheme="minorHAnsi"/>
                        <w:vertAlign w:val="superscript"/>
                      </w:rPr>
                    </m:ctrlPr>
                  </m:sSupPr>
                  <m:e>
                    <m:r>
                      <m:rPr>
                        <m:sty m:val="p"/>
                      </m:rPr>
                      <w:rPr>
                        <w:rFonts w:cstheme="minorHAnsi"/>
                        <w:lang w:val="fr-FR"/>
                      </w:rPr>
                      <m:t>∂</m:t>
                    </m:r>
                  </m:e>
                  <m:sup>
                    <m:r>
                      <w:rPr>
                        <w:rFonts w:cstheme="minorHAnsi"/>
                        <w:vertAlign w:val="superscript"/>
                        <w:lang w:val="fr-FR"/>
                      </w:rPr>
                      <m:t>2</m:t>
                    </m:r>
                  </m:sup>
                </m:sSup>
                <m:sSub>
                  <m:sSubPr>
                    <m:ctrlPr>
                      <w:rPr>
                        <w:rFonts w:cstheme="minorHAnsi"/>
                        <w:vertAlign w:val="subscript"/>
                        <w:lang w:val="de-DE"/>
                      </w:rPr>
                    </m:ctrlPr>
                  </m:sSubPr>
                  <m:e>
                    <m:r>
                      <m:rPr>
                        <m:sty m:val="p"/>
                      </m:rPr>
                      <w:rPr>
                        <w:rFonts w:cstheme="minorHAnsi"/>
                      </w:rPr>
                      <m:t>σ</m:t>
                    </m:r>
                  </m:e>
                  <m:sub>
                    <m:r>
                      <m:rPr>
                        <m:sty m:val="p"/>
                      </m:rPr>
                      <w:rPr>
                        <w:rFonts w:cstheme="minorHAnsi"/>
                        <w:vertAlign w:val="subscript"/>
                        <w:lang w:val="fr-FR"/>
                      </w:rPr>
                      <m:t>pp</m:t>
                    </m:r>
                  </m:sub>
                </m:sSub>
              </m:num>
              <m:den>
                <m:r>
                  <m:rPr>
                    <m:sty m:val="p"/>
                  </m:rPr>
                  <w:rPr>
                    <w:rFonts w:cstheme="minorHAnsi"/>
                    <w:lang w:val="fr-FR"/>
                  </w:rPr>
                  <m:t>∂pT∂y</m:t>
                </m:r>
              </m:den>
            </m:f>
          </m:den>
        </m:f>
      </m:oMath>
    </w:p>
    <w:p w14:paraId="7108E757" w14:textId="39D970A8" w:rsidR="00AA4A27" w:rsidRPr="00AA4A27" w:rsidRDefault="00AA4A27" w:rsidP="00AA4A27">
      <w:pPr>
        <w:spacing w:after="0"/>
        <w:ind w:firstLine="567"/>
        <w:jc w:val="both"/>
        <w:rPr>
          <w:rFonts w:asciiTheme="minorHAnsi" w:hAnsiTheme="minorHAnsi" w:cstheme="minorHAnsi"/>
          <w:sz w:val="24"/>
          <w:szCs w:val="24"/>
          <w:lang w:val="fr-FR"/>
        </w:rPr>
      </w:pPr>
      <w:r w:rsidRPr="00AA4A27">
        <w:rPr>
          <w:rFonts w:asciiTheme="minorHAnsi" w:hAnsiTheme="minorHAnsi" w:cstheme="minorHAnsi"/>
          <w:sz w:val="24"/>
          <w:szCs w:val="24"/>
          <w:lang w:val="fr-FR"/>
        </w:rPr>
        <w:t>The Fig 1 shows that NMF for all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species and configurations are suppressed at low pT and ramps up as a function of pT. While NMF tends to rise for all the available pT bins for </w:t>
      </w:r>
      <m:oMath>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K</m:t>
            </m:r>
          </m:e>
          <m:sub>
            <m:r>
              <w:rPr>
                <w:rFonts w:ascii="Cambria Math" w:hAnsi="Cambria Math" w:cstheme="minorHAnsi"/>
                <w:sz w:val="24"/>
                <w:szCs w:val="24"/>
                <w:lang w:val="fr-FR"/>
              </w:rPr>
              <m:t>S</m:t>
            </m:r>
          </m:sub>
          <m:sup>
            <m:r>
              <w:rPr>
                <w:rFonts w:ascii="Cambria Math" w:hAnsi="Cambria Math" w:cstheme="minorHAnsi"/>
                <w:sz w:val="24"/>
                <w:szCs w:val="24"/>
                <w:lang w:val="fr-FR"/>
              </w:rPr>
              <m:t>0</m:t>
            </m:r>
          </m:sup>
        </m:sSubSup>
      </m:oMath>
      <w:r w:rsidRPr="00AA4A27">
        <w:rPr>
          <w:rFonts w:asciiTheme="minorHAnsi" w:hAnsiTheme="minorHAnsi" w:cstheme="minorHAnsi"/>
          <w:sz w:val="24"/>
          <w:szCs w:val="24"/>
          <w:lang w:val="fr-FR"/>
        </w:rPr>
        <w:t xml:space="preserve">, the NMF for Λ and Λ reaches its maximum around 2 GeV/c and then remains mostly constant or even shows a slight decrease within the range of measurement uncertainties. The measured NMF </w:t>
      </w:r>
      <w:r w:rsidRPr="00AA4A27">
        <w:rPr>
          <w:rFonts w:asciiTheme="minorHAnsi" w:hAnsiTheme="minorHAnsi" w:cstheme="minorHAnsi"/>
          <w:sz w:val="24"/>
          <w:szCs w:val="24"/>
          <w:lang w:val="fr-FR"/>
        </w:rPr>
        <w:lastRenderedPageBreak/>
        <w:t>is below the unity for all V</w:t>
      </w:r>
      <w:r w:rsidRPr="000E7E35">
        <w:rPr>
          <w:rFonts w:asciiTheme="minorHAnsi" w:hAnsiTheme="minorHAnsi" w:cstheme="minorHAnsi"/>
          <w:sz w:val="24"/>
          <w:szCs w:val="24"/>
          <w:vertAlign w:val="superscript"/>
          <w:lang w:val="fr-FR"/>
        </w:rPr>
        <w:t>0</w:t>
      </w:r>
      <w:r w:rsidRPr="00AA4A27">
        <w:rPr>
          <w:rFonts w:asciiTheme="minorHAnsi" w:hAnsiTheme="minorHAnsi" w:cstheme="minorHAnsi"/>
          <w:sz w:val="24"/>
          <w:szCs w:val="24"/>
          <w:lang w:val="fr-FR"/>
        </w:rPr>
        <w:t xml:space="preserve"> species for p-Pb collision configuration. In the case of Pb-p collisions NMF exceeds the unity at around 1.35 GeV/c. From y</w:t>
      </w:r>
      <w:r w:rsidRPr="00AA4A27">
        <w:rPr>
          <w:rFonts w:ascii="Cambria Math" w:hAnsi="Cambria Math" w:cs="Cambria Math"/>
          <w:sz w:val="24"/>
          <w:szCs w:val="24"/>
          <w:lang w:val="fr-FR"/>
        </w:rPr>
        <w:t>∗</w:t>
      </w:r>
      <w:r w:rsidRPr="00AA4A27">
        <w:rPr>
          <w:rFonts w:asciiTheme="minorHAnsi" w:hAnsiTheme="minorHAnsi" w:cstheme="minorHAnsi"/>
          <w:sz w:val="24"/>
          <w:szCs w:val="24"/>
          <w:lang w:val="fr-FR"/>
        </w:rPr>
        <w:t xml:space="preserve"> distributions of NMF one can see that NMF ramps up to central rapidity as well as NMF is more suppressed for forward rapidities (up to 40%) than for backward ones (60–80%).</w:t>
      </w:r>
    </w:p>
    <w:p w14:paraId="5C499C99" w14:textId="77777777" w:rsidR="00E978D4" w:rsidRPr="00E978D4" w:rsidRDefault="00E978D4" w:rsidP="00E978D4">
      <w:pPr>
        <w:rPr>
          <w:rFonts w:ascii="Times New Roman" w:hAnsi="Times New Roman"/>
          <w:lang w:val="fr-FR"/>
        </w:rPr>
      </w:pPr>
    </w:p>
    <w:p w14:paraId="0F0973E0" w14:textId="77777777" w:rsidR="00E978D4" w:rsidRDefault="004A1BFE" w:rsidP="00AA4A27">
      <w:pPr>
        <w:spacing w:after="0"/>
        <w:rPr>
          <w:rFonts w:ascii="Times New Roman" w:hAnsi="Times New Roman"/>
          <w:lang w:val="fr-FR"/>
        </w:rPr>
      </w:pPr>
      <w:r w:rsidRPr="00B30FF3">
        <w:rPr>
          <w:rFonts w:ascii="Times New Roman" w:eastAsia="CMR12" w:hAnsi="Times New Roman"/>
          <w:noProof/>
          <w:sz w:val="28"/>
          <w:szCs w:val="28"/>
          <w:lang w:val="ru-RU" w:eastAsia="ru-RU"/>
        </w:rPr>
        <w:drawing>
          <wp:inline distT="0" distB="0" distL="0" distR="0" wp14:anchorId="6F8A4975" wp14:editId="2730FA60">
            <wp:extent cx="5940425" cy="23482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348230"/>
                    </a:xfrm>
                    <a:prstGeom prst="rect">
                      <a:avLst/>
                    </a:prstGeom>
                    <a:noFill/>
                    <a:ln>
                      <a:noFill/>
                    </a:ln>
                  </pic:spPr>
                </pic:pic>
              </a:graphicData>
            </a:graphic>
          </wp:inline>
        </w:drawing>
      </w:r>
    </w:p>
    <w:p w14:paraId="78AF0721" w14:textId="77777777" w:rsidR="004A1BFE" w:rsidRDefault="004A1BFE" w:rsidP="00AA4A27">
      <w:pPr>
        <w:spacing w:after="0"/>
        <w:rPr>
          <w:rFonts w:ascii="Times New Roman" w:hAnsi="Times New Roman"/>
          <w:lang w:val="fr-FR"/>
        </w:rPr>
      </w:pPr>
      <w:r w:rsidRPr="00B30FF3">
        <w:rPr>
          <w:rFonts w:ascii="Times New Roman" w:eastAsia="CMR12" w:hAnsi="Times New Roman"/>
          <w:noProof/>
          <w:sz w:val="28"/>
          <w:szCs w:val="28"/>
          <w:lang w:val="ru-RU" w:eastAsia="ru-RU"/>
        </w:rPr>
        <w:drawing>
          <wp:inline distT="0" distB="0" distL="0" distR="0" wp14:anchorId="1D020BDF" wp14:editId="728E1910">
            <wp:extent cx="5940425" cy="23482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348230"/>
                    </a:xfrm>
                    <a:prstGeom prst="rect">
                      <a:avLst/>
                    </a:prstGeom>
                    <a:noFill/>
                    <a:ln>
                      <a:noFill/>
                    </a:ln>
                  </pic:spPr>
                </pic:pic>
              </a:graphicData>
            </a:graphic>
          </wp:inline>
        </w:drawing>
      </w:r>
    </w:p>
    <w:p w14:paraId="6DB16403" w14:textId="77777777" w:rsidR="00E978D4" w:rsidRPr="00E978D4" w:rsidRDefault="004A1BFE" w:rsidP="00E978D4">
      <w:pPr>
        <w:rPr>
          <w:rFonts w:ascii="Times New Roman" w:hAnsi="Times New Roman"/>
          <w:lang w:val="fr-FR"/>
        </w:rPr>
      </w:pPr>
      <w:r w:rsidRPr="00B30FF3">
        <w:rPr>
          <w:rFonts w:ascii="Times New Roman" w:eastAsia="CMR12" w:hAnsi="Times New Roman"/>
          <w:noProof/>
          <w:sz w:val="28"/>
          <w:szCs w:val="28"/>
          <w:lang w:val="ru-RU" w:eastAsia="ru-RU"/>
        </w:rPr>
        <w:drawing>
          <wp:inline distT="0" distB="0" distL="0" distR="0" wp14:anchorId="50647DB6" wp14:editId="3A37958B">
            <wp:extent cx="5940425" cy="234823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348230"/>
                    </a:xfrm>
                    <a:prstGeom prst="rect">
                      <a:avLst/>
                    </a:prstGeom>
                    <a:noFill/>
                    <a:ln>
                      <a:noFill/>
                    </a:ln>
                  </pic:spPr>
                </pic:pic>
              </a:graphicData>
            </a:graphic>
          </wp:inline>
        </w:drawing>
      </w:r>
    </w:p>
    <w:p w14:paraId="4956BE00" w14:textId="1DA21956" w:rsidR="00E978D4" w:rsidRPr="00E978D4" w:rsidRDefault="00E978D4" w:rsidP="00E978D4">
      <w:pPr>
        <w:rPr>
          <w:rFonts w:ascii="Times New Roman" w:hAnsi="Times New Roman"/>
          <w:lang w:val="fr-FR"/>
        </w:rPr>
      </w:pPr>
      <w:r w:rsidRPr="00E978D4">
        <w:rPr>
          <w:rFonts w:ascii="Times New Roman" w:hAnsi="Times New Roman"/>
          <w:lang w:val="fr-FR"/>
        </w:rPr>
        <w:t>Figure 1. Results for p-Pb and Pb-p data as a function of pT are shown in Fig. 40 (left column) and as a function of y</w:t>
      </w:r>
      <w:r w:rsidRPr="00E978D4">
        <w:rPr>
          <w:rFonts w:ascii="Cambria Math" w:hAnsi="Cambria Math" w:cs="Cambria Math"/>
          <w:lang w:val="fr-FR"/>
        </w:rPr>
        <w:t>∗</w:t>
      </w:r>
      <w:r w:rsidRPr="00E978D4">
        <w:rPr>
          <w:rFonts w:ascii="Times New Roman" w:hAnsi="Times New Roman"/>
          <w:lang w:val="fr-FR"/>
        </w:rPr>
        <w:t xml:space="preserve"> (right column) for </w:t>
      </w:r>
      <m:oMath>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K</m:t>
            </m:r>
          </m:e>
          <m:sub>
            <m:r>
              <w:rPr>
                <w:rFonts w:ascii="Cambria Math" w:hAnsi="Cambria Math" w:cstheme="minorHAnsi"/>
                <w:sz w:val="24"/>
                <w:szCs w:val="24"/>
                <w:lang w:val="fr-FR"/>
              </w:rPr>
              <m:t>S</m:t>
            </m:r>
          </m:sub>
          <m:sup>
            <m:r>
              <w:rPr>
                <w:rFonts w:ascii="Cambria Math" w:hAnsi="Cambria Math" w:cstheme="minorHAnsi"/>
                <w:sz w:val="24"/>
                <w:szCs w:val="24"/>
                <w:lang w:val="fr-FR"/>
              </w:rPr>
              <m:t>0</m:t>
            </m:r>
          </m:sup>
        </m:sSubSup>
      </m:oMath>
      <w:r w:rsidRPr="00E978D4">
        <w:rPr>
          <w:rFonts w:ascii="Times New Roman" w:hAnsi="Times New Roman"/>
          <w:lang w:val="fr-FR"/>
        </w:rPr>
        <w:t xml:space="preserve"> (top row), Λ (middle row), and Λ ̅ (bottom row). Black circles mark forward (p-Pb) and blue ones—backward (Pb-p) configurations. </w:t>
      </w:r>
    </w:p>
    <w:p w14:paraId="39F5FB31" w14:textId="77777777" w:rsidR="00E978D4" w:rsidRPr="00E978D4" w:rsidRDefault="00E978D4" w:rsidP="00E978D4">
      <w:pPr>
        <w:rPr>
          <w:rFonts w:ascii="Times New Roman" w:hAnsi="Times New Roman"/>
          <w:lang w:val="fr-FR"/>
        </w:rPr>
      </w:pPr>
    </w:p>
    <w:p w14:paraId="2CB248D0" w14:textId="77777777" w:rsidR="00E978D4" w:rsidRPr="00E978D4" w:rsidRDefault="00E978D4" w:rsidP="00EE414D">
      <w:pPr>
        <w:spacing w:after="0"/>
        <w:rPr>
          <w:rFonts w:ascii="Times New Roman" w:hAnsi="Times New Roman"/>
          <w:lang w:val="fr-FR"/>
        </w:rPr>
      </w:pPr>
      <w:r w:rsidRPr="00E978D4">
        <w:rPr>
          <w:rFonts w:ascii="Times New Roman" w:hAnsi="Times New Roman"/>
          <w:lang w:val="fr-FR"/>
        </w:rPr>
        <w:t>[1] P. Tribedy and R. Venugopalan, QCD saturation at the LHC: Comparisons of models to p + p and A + A data and predictions for p + Pb collisions, Phys. Lett. B (2012) 125, arXiv:1112.2445, [Erratum: Phys. Lett.B718,1154(2013)].</w:t>
      </w:r>
    </w:p>
    <w:p w14:paraId="4EA02E60" w14:textId="77777777" w:rsidR="00E978D4" w:rsidRPr="00E978D4" w:rsidRDefault="00E978D4" w:rsidP="00EE414D">
      <w:pPr>
        <w:spacing w:after="0"/>
        <w:rPr>
          <w:rFonts w:ascii="Times New Roman" w:hAnsi="Times New Roman"/>
          <w:lang w:val="fr-FR"/>
        </w:rPr>
      </w:pPr>
      <w:r w:rsidRPr="00E978D4">
        <w:rPr>
          <w:rFonts w:ascii="Times New Roman" w:hAnsi="Times New Roman"/>
          <w:lang w:val="fr-FR"/>
        </w:rPr>
        <w:t xml:space="preserve"> [2] H. Song et al., 200 AGeV Au + Au collisions serve a nearly perfect quark-gluon liquid, Phys. Rev. Lett. 106 (2011) 192301, arXiv:1011.2783, [Erratum: Phys. Rev.Lett.109,139904(2012)].</w:t>
      </w:r>
    </w:p>
    <w:p w14:paraId="721FF868" w14:textId="77777777" w:rsidR="00E978D4" w:rsidRPr="00E978D4" w:rsidRDefault="00E978D4" w:rsidP="00EE414D">
      <w:pPr>
        <w:spacing w:after="0"/>
        <w:rPr>
          <w:rFonts w:ascii="Times New Roman" w:hAnsi="Times New Roman"/>
          <w:lang w:val="fr-FR"/>
        </w:rPr>
      </w:pPr>
      <w:r w:rsidRPr="00E978D4">
        <w:rPr>
          <w:rFonts w:ascii="Times New Roman" w:hAnsi="Times New Roman"/>
          <w:lang w:val="fr-FR"/>
        </w:rPr>
        <w:t xml:space="preserve"> [3] G. A. Chirilli, B.-W. Xiao, and F. Yuan, Inclusive hadron productions in pA collisions, Phys. Rev. D86 (2012) 054005, arXiv:1203.6139; J. Kamin, Hot and cold nuclear matter effects in p–Pb collisions at the LHC, EPJ Web Conf. 95 (2015) 03018.</w:t>
      </w:r>
    </w:p>
    <w:p w14:paraId="6D8BA965" w14:textId="1176ABEB" w:rsidR="00E978D4" w:rsidRPr="00E978D4" w:rsidRDefault="00E978D4" w:rsidP="00EE414D">
      <w:pPr>
        <w:spacing w:after="0"/>
        <w:rPr>
          <w:rFonts w:ascii="Times New Roman" w:hAnsi="Times New Roman"/>
          <w:lang w:val="fr-FR"/>
        </w:rPr>
      </w:pPr>
      <w:r w:rsidRPr="00E978D4">
        <w:rPr>
          <w:rFonts w:ascii="Times New Roman" w:hAnsi="Times New Roman"/>
          <w:lang w:val="fr-FR"/>
        </w:rPr>
        <w:t>[</w:t>
      </w:r>
      <w:r w:rsidR="00AA4A27">
        <w:rPr>
          <w:rFonts w:ascii="Times New Roman" w:hAnsi="Times New Roman"/>
          <w:lang w:val="uk-UA"/>
        </w:rPr>
        <w:t>4</w:t>
      </w:r>
      <w:r w:rsidRPr="00E978D4">
        <w:rPr>
          <w:rFonts w:ascii="Times New Roman" w:hAnsi="Times New Roman"/>
          <w:lang w:val="fr-FR"/>
        </w:rPr>
        <w:t>] Particle Data Group, M. Tanabashi et al., Review of particle physics, Phys. Rev. D98914 (2018) 030001.</w:t>
      </w:r>
    </w:p>
    <w:p w14:paraId="21EE8054" w14:textId="77777777" w:rsidR="00E978D4" w:rsidRDefault="00E978D4" w:rsidP="00E21E91">
      <w:pPr>
        <w:rPr>
          <w:rFonts w:ascii="Times New Roman" w:hAnsi="Times New Roman"/>
          <w:lang w:val="fr-FR"/>
        </w:rPr>
      </w:pPr>
    </w:p>
    <w:p w14:paraId="55BDDB13" w14:textId="77777777" w:rsidR="00E978D4" w:rsidRDefault="00E978D4" w:rsidP="00E21E91"/>
    <w:sectPr w:rsidR="00E97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MR12">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1B"/>
    <w:rsid w:val="000246A0"/>
    <w:rsid w:val="000C45F9"/>
    <w:rsid w:val="000E7E35"/>
    <w:rsid w:val="001F3BC7"/>
    <w:rsid w:val="0037484D"/>
    <w:rsid w:val="003774D6"/>
    <w:rsid w:val="0041707F"/>
    <w:rsid w:val="00461D8B"/>
    <w:rsid w:val="004A1BFE"/>
    <w:rsid w:val="00554D26"/>
    <w:rsid w:val="00603E17"/>
    <w:rsid w:val="0067781B"/>
    <w:rsid w:val="006C61CE"/>
    <w:rsid w:val="006D24C8"/>
    <w:rsid w:val="008B3DCA"/>
    <w:rsid w:val="00AA4A27"/>
    <w:rsid w:val="00B641B0"/>
    <w:rsid w:val="00BA0A13"/>
    <w:rsid w:val="00BB5318"/>
    <w:rsid w:val="00D8571A"/>
    <w:rsid w:val="00DB2268"/>
    <w:rsid w:val="00E21E91"/>
    <w:rsid w:val="00E409C1"/>
    <w:rsid w:val="00E978D4"/>
    <w:rsid w:val="00EE414D"/>
    <w:rsid w:val="00FD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F273"/>
  <w15:chartTrackingRefBased/>
  <w15:docId w15:val="{0A43B276-1AE3-4F87-B73C-4656ED1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E91"/>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E21E91"/>
    <w:pPr>
      <w:suppressAutoHyphens/>
      <w:spacing w:after="0" w:line="240" w:lineRule="auto"/>
    </w:pPr>
    <w:rPr>
      <w:rFonts w:ascii="Helvetica Neue" w:eastAsia="Arial Unicode MS" w:hAnsi="Helvetica Neue" w:cs="Arial Unicode MS"/>
      <w:color w:val="000000"/>
      <w:lang w:val="en-US" w:eastAsia="zh-CN"/>
    </w:rPr>
  </w:style>
  <w:style w:type="character" w:customStyle="1" w:styleId="a4">
    <w:name w:val="Нет"/>
    <w:rsid w:val="00E21E91"/>
  </w:style>
  <w:style w:type="character" w:styleId="a5">
    <w:name w:val="Hyperlink"/>
    <w:uiPriority w:val="99"/>
    <w:unhideWhenUsed/>
    <w:rsid w:val="00E21E91"/>
    <w:rPr>
      <w:color w:val="0000FF"/>
      <w:u w:val="single"/>
    </w:rPr>
  </w:style>
  <w:style w:type="paragraph" w:styleId="a6">
    <w:name w:val="List Paragraph"/>
    <w:basedOn w:val="a"/>
    <w:uiPriority w:val="34"/>
    <w:qFormat/>
    <w:rsid w:val="00E21E91"/>
    <w:pPr>
      <w:ind w:left="720"/>
      <w:contextualSpacing/>
    </w:pPr>
  </w:style>
  <w:style w:type="paragraph" w:customStyle="1" w:styleId="Default">
    <w:name w:val="Default"/>
    <w:rsid w:val="003774D6"/>
    <w:pPr>
      <w:autoSpaceDE w:val="0"/>
      <w:autoSpaceDN w:val="0"/>
      <w:adjustRightInd w:val="0"/>
      <w:spacing w:after="0" w:line="240" w:lineRule="auto"/>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rgbClr val="B969B8"/>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Serhii K</cp:lastModifiedBy>
  <cp:revision>6</cp:revision>
  <dcterms:created xsi:type="dcterms:W3CDTF">2025-01-16T10:56:00Z</dcterms:created>
  <dcterms:modified xsi:type="dcterms:W3CDTF">2025-01-16T11:07:00Z</dcterms:modified>
</cp:coreProperties>
</file>