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widowControl w:val="0"/>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OF THE BEHAVIOR OF THE EFFECTIVE POTENTIAL IN SYSTEMS WITH PHASE TRANSITIONS THROUGH THE PRISM OF A–D–E TYPE SINGULARITIES</w:t>
      </w:r>
    </w:p>
    <w:p w:rsidR="00000000" w:rsidDel="00000000" w:rsidP="00000000" w:rsidRDefault="00000000" w:rsidRPr="00000000" w14:paraId="00000005">
      <w:pPr>
        <w:widowControl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b w:val="1"/>
          <w:bCs w:val="1"/>
          <w:i w:val="0"/>
          <w:iCs w:val="0"/>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1"/>
          <w:bCs w:val="1"/>
          <w:rtl w:val="0"/>
        </w:rPr>
        <w:t xml:space="preserve">V</w:t>
      </w:r>
      <w:r w:rsidDel="00000000" w:rsidR="00000000" w:rsidRPr="00000000">
        <w:rPr>
          <w:rFonts w:ascii="Times New Roman" w:cs="Times New Roman" w:eastAsia="Times New Roman" w:hAnsi="Times New Roman"/>
          <w:b w:val="1"/>
          <w:bCs w:val="1"/>
          <w:i w:val="0"/>
          <w:iCs w:val="0"/>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1"/>
          <w:bCs w:val="1"/>
          <w:rtl w:val="0"/>
        </w:rPr>
        <w:t xml:space="preserve">Obikhod</w:t>
      </w:r>
      <w:r w:rsidDel="00000000" w:rsidR="00000000" w:rsidRPr="00000000">
        <w:rPr>
          <w:rtl w:val="0"/>
        </w:rPr>
      </w:r>
    </w:p>
    <w:p w:rsidR="00000000" w:rsidDel="00000000" w:rsidP="00000000" w:rsidRDefault="00000000" w:rsidRPr="00000000" w14:paraId="00000007">
      <w:pPr>
        <w:widowControl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Institute for Nuclear Research, National Academy of Sciences of Ukraine, Kyiv, Ukraine</w:t>
      </w:r>
      <w:r w:rsidDel="00000000" w:rsidR="00000000" w:rsidRPr="00000000">
        <w:rPr>
          <w:rtl w:val="0"/>
        </w:rPr>
      </w:r>
    </w:p>
    <w:p w:rsidR="00000000" w:rsidDel="00000000" w:rsidP="00000000" w:rsidRDefault="00000000" w:rsidRPr="00000000" w14:paraId="00000009">
      <w:pPr>
        <w:widowControl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discovery of the Higgs boson introduced a host of new questions instead of bringing closure, as its existence seems closely related to one of the Standard Model's most perplexing mysteries: the reason for the presence of three generations of matter, each exhibiting dramatically varying masses. Concealed within its interactions might be new physics, which could potentially be revealed by a future electron-positron collider through the examination of collisions at precisely selected energy levels. The Standard Model is viewed not as an ultimate explanation, but as a robust and effective foundation to examine nature across all scales, from the subtle aspects of particle decay to the characteristics of the Higgs and the high-energy structures formed during collisions [1].</w:t>
      </w:r>
    </w:p>
    <w:p w:rsidR="00000000" w:rsidDel="00000000" w:rsidP="00000000" w:rsidRDefault="00000000" w:rsidRPr="00000000" w14:paraId="0000000B">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extended scalar sector of the Higgs boson holds a striking possibility: a sharp, strongly first-order electroweak phase transition (FOPT). Within the Standard Model alone, a Higgs mass of 125 GeV leads only to a smooth crossover—a gradual shift without dramatic discontinuity. But introduce new, light scalar degrees of freedom, and the Higgs potential can reshape dramatically. In models such as the two-Higgs-doublet (2HDM) framework, adjustments to the Higgs self-coupling can replace the mild crossover with a decisive first-order transition that remains consistent with existing data.</w:t>
      </w:r>
    </w:p>
    <w:p w:rsidR="00000000" w:rsidDel="00000000" w:rsidP="00000000" w:rsidRDefault="00000000" w:rsidRPr="00000000" w14:paraId="0000000C">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Modern theory of critical phenomena in condensed matter and particle physics extensively uses Arnold’s classification of simple (elementary) singularities of smooth functions of many variables (the A–D–E series) [2]. This classification uniquely relates the topology of the effective potential near a critical point to universal critical exponents, scaling laws, and the universality class of the system. The best-known physical realizations are:  </w:t>
      </w:r>
    </w:p>
    <w:p w:rsidR="00000000" w:rsidDel="00000000" w:rsidP="00000000" w:rsidRDefault="00000000" w:rsidRPr="00000000" w14:paraId="0000000D">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m:oMath>
        <m:r>
          <w:rPr>
            <w:rFonts w:ascii="Times New Roman" w:cs="Times New Roman" w:eastAsia="Times New Roman" w:hAnsi="Times New Roman"/>
          </w:rPr>
          <m:t xml:space="preserve">A₂</m:t>
        </m:r>
      </m:oMath>
      <w:r w:rsidDel="00000000" w:rsidR="00000000" w:rsidRPr="00000000">
        <w:rPr>
          <w:rFonts w:ascii="Times New Roman" w:cs="Times New Roman" w:eastAsia="Times New Roman" w:hAnsi="Times New Roman"/>
          <w:rtl w:val="0"/>
        </w:rPr>
        <w:t xml:space="preserve">(cusp) — tricritical point,  </w:t>
      </w:r>
    </w:p>
    <w:p w:rsidR="00000000" w:rsidDel="00000000" w:rsidP="00000000" w:rsidRDefault="00000000" w:rsidRPr="00000000" w14:paraId="0000000E">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m:oMath>
        <m:r>
          <w:rPr>
            <w:rFonts w:ascii="Times New Roman" w:cs="Times New Roman" w:eastAsia="Times New Roman" w:hAnsi="Times New Roman"/>
          </w:rPr>
          <m:t xml:space="preserve">E₆</m:t>
        </m:r>
      </m:oMath>
      <w:r w:rsidDel="00000000" w:rsidR="00000000" w:rsidRPr="00000000">
        <w:rPr>
          <w:rFonts w:ascii="Times New Roman" w:cs="Times New Roman" w:eastAsia="Times New Roman" w:hAnsi="Times New Roman"/>
          <w:rtl w:val="0"/>
        </w:rPr>
        <w:t xml:space="preserve">— triple merging of phase diagrams,  </w:t>
      </w:r>
    </w:p>
    <w:p w:rsidR="00000000" w:rsidDel="00000000" w:rsidP="00000000" w:rsidRDefault="00000000" w:rsidRPr="00000000" w14:paraId="0000000F">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m:oMath>
        <m:r>
          <w:rPr>
            <w:rFonts w:ascii="Times New Roman" w:cs="Times New Roman" w:eastAsia="Times New Roman" w:hAnsi="Times New Roman"/>
          </w:rPr>
          <m:t xml:space="preserve">E₈</m:t>
        </m:r>
      </m:oMath>
      <w:r w:rsidDel="00000000" w:rsidR="00000000" w:rsidRPr="00000000">
        <w:rPr>
          <w:rFonts w:ascii="Times New Roman" w:cs="Times New Roman" w:eastAsia="Times New Roman" w:hAnsi="Times New Roman"/>
          <w:rtl w:val="0"/>
        </w:rPr>
        <w:t xml:space="preserve">— the hypothetical most degenerate singularity of cubic symmetry </w:t>
      </w:r>
      <m:oMath>
        <m:r>
          <w:rPr>
            <w:rFonts w:ascii="Times New Roman" w:cs="Times New Roman" w:eastAsia="Times New Roman" w:hAnsi="Times New Roman"/>
          </w:rPr>
          <m:t xml:space="preserve">SU(3)×SU(2)×U(1)</m:t>
        </m:r>
      </m:oMath>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tools in algebraic geometry for determining the type of singularity is the Milnor number </w:t>
      </w:r>
      <m:oMath>
        <m:r>
          <w:rPr>
            <w:rFonts w:ascii="Times New Roman" w:cs="Times New Roman" w:eastAsia="Times New Roman" w:hAnsi="Times New Roman"/>
          </w:rPr>
          <m:t xml:space="preserve">μ</m:t>
        </m:r>
      </m:oMath>
      <w:r w:rsidDel="00000000" w:rsidR="00000000" w:rsidRPr="00000000">
        <w:rPr>
          <w:rFonts w:ascii="Times New Roman" w:cs="Times New Roman" w:eastAsia="Times New Roman" w:hAnsi="Times New Roman"/>
          <w:rtl w:val="0"/>
        </w:rPr>
        <w:t xml:space="preserve"> — the dimension of the local algebra </w:t>
      </w:r>
      <m:oMath>
        <m:r>
          <w:rPr>
            <w:rFonts w:ascii="Times New Roman" w:cs="Times New Roman" w:eastAsia="Times New Roman" w:hAnsi="Times New Roman"/>
          </w:rPr>
          <m:t xml:space="preserve">ℂ[[x₁,…,xₙ]]/⟨∂V/∂xᵢ⟩</m:t>
        </m:r>
      </m:oMath>
      <w:r w:rsidDel="00000000" w:rsidR="00000000" w:rsidRPr="00000000">
        <w:rPr>
          <w:rFonts w:ascii="Times New Roman" w:cs="Times New Roman" w:eastAsia="Times New Roman" w:hAnsi="Times New Roman"/>
          <w:rtl w:val="0"/>
        </w:rPr>
        <w:t xml:space="preserve">. For all simple A–D–E catastrophes, the value of μ is strictly fixed and always less than 9 (the largest is </w:t>
      </w:r>
      <m:oMath>
        <m:r>
          <w:rPr>
            <w:rFonts w:ascii="Times New Roman" w:cs="Times New Roman" w:eastAsia="Times New Roman" w:hAnsi="Times New Roman"/>
          </w:rPr>
          <m:t xml:space="preserve">μ(E₈) = 8</m:t>
        </m:r>
      </m:oMath>
      <w:sdt>
        <w:sdtPr>
          <w:id w:val="-1586252260"/>
          <w:tag w:val="goog_rdk_0"/>
        </w:sdtPr>
        <w:sdtContent>
          <w:r w:rsidDel="00000000" w:rsidR="00000000" w:rsidRPr="00000000">
            <w:rPr>
              <w:rFonts w:ascii="Cardo" w:cs="Cardo" w:eastAsia="Cardo" w:hAnsi="Cardo"/>
              <w:rtl w:val="0"/>
            </w:rPr>
            <w:t xml:space="preserve">). Therefore, if in a real physical model μ ≥ 9, the corresponding critical point is guaranteed not to be elementary and belongs to the much broader class of “composite” or “non-simple” singularities.</w:t>
          </w:r>
        </w:sdtContent>
      </w:sdt>
    </w:p>
    <w:p w:rsidR="00000000" w:rsidDel="00000000" w:rsidP="00000000" w:rsidRDefault="00000000" w:rsidRPr="00000000" w14:paraId="00000011">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investigate the most common and phenomenologically well-motivated extension of the Standard Model — a real scalar </w:t>
      </w:r>
      <m:oMath>
        <m:r>
          <w:rPr>
            <w:rFonts w:ascii="Times New Roman" w:cs="Times New Roman" w:eastAsia="Times New Roman" w:hAnsi="Times New Roman"/>
          </w:rPr>
          <m:t xml:space="preserve">Z₂</m:t>
        </m:r>
      </m:oMath>
      <w:r w:rsidDel="00000000" w:rsidR="00000000" w:rsidRPr="00000000">
        <w:rPr>
          <w:rFonts w:ascii="Times New Roman" w:cs="Times New Roman" w:eastAsia="Times New Roman" w:hAnsi="Times New Roman"/>
          <w:rtl w:val="0"/>
        </w:rPr>
        <w:t xml:space="preserve">-symmetric singlet </w:t>
      </w:r>
      <w:r w:rsidDel="00000000" w:rsidR="00000000" w:rsidRPr="00000000">
        <w:rPr>
          <w:rFonts w:ascii="Times New Roman" w:cs="Times New Roman" w:eastAsia="Times New Roman" w:hAnsi="Times New Roman"/>
          <w:i w:val="1"/>
          <w:iCs w:val="1"/>
          <w:rtl w:val="0"/>
        </w:rPr>
        <w:t xml:space="preserve">s</w:t>
      </w:r>
      <w:r w:rsidDel="00000000" w:rsidR="00000000" w:rsidRPr="00000000">
        <w:rPr>
          <w:rFonts w:ascii="Times New Roman" w:cs="Times New Roman" w:eastAsia="Times New Roman" w:hAnsi="Times New Roman"/>
          <w:rtl w:val="0"/>
        </w:rPr>
        <w:t xml:space="preserve"> interacting with the Higgs doublet via the Higgs portal. The effective potential for two real scalar fields (the neutral component of the Higgs h and the singlet s) has the form</w:t>
      </w:r>
    </w:p>
    <w:p w:rsidR="00000000" w:rsidDel="00000000" w:rsidP="00000000" w:rsidRDefault="00000000" w:rsidRPr="00000000" w14:paraId="00000012">
      <w:pPr>
        <w:widowControl w:val="0"/>
        <w:spacing w:after="0" w:line="240" w:lineRule="auto"/>
        <w:ind w:left="0" w:firstLine="0"/>
        <w:jc w:val="center"/>
        <w:rPr>
          <w:rFonts w:ascii="Times New Roman" w:cs="Times New Roman" w:eastAsia="Times New Roman" w:hAnsi="Times New Roman"/>
        </w:rPr>
      </w:pPr>
      <m:oMath>
        <m:r>
          <w:rPr>
            <w:rFonts w:ascii="Times New Roman" w:cs="Times New Roman" w:eastAsia="Times New Roman" w:hAnsi="Times New Roman"/>
          </w:rPr>
          <m:t xml:space="preserve">V(h,s) = −(μₕ²/2) h² + (λ/4) h⁴ − (μ</m:t>
        </m:r>
        <m:r>
          <w:rPr>
            <w:rFonts w:ascii="Times New Roman" w:cs="Times New Roman" w:eastAsia="Times New Roman" w:hAnsi="Times New Roman"/>
            <w:vertAlign w:val="subscript"/>
          </w:rPr>
          <m:t xml:space="preserve">s</m:t>
        </m:r>
        <m:r>
          <w:rPr>
            <w:rFonts w:ascii="Times New Roman" w:cs="Times New Roman" w:eastAsia="Times New Roman" w:hAnsi="Times New Roman"/>
          </w:rPr>
          <m:t xml:space="preserve">²/2) s² + (b₄/4) s⁴ + (a₂/4) h² s².</m:t>
        </m:r>
      </m:oMath>
      <w:r w:rsidDel="00000000" w:rsidR="00000000" w:rsidRPr="00000000">
        <w:rPr>
          <w:rtl w:val="0"/>
        </w:rPr>
      </w:r>
    </w:p>
    <w:p w:rsidR="00000000" w:rsidDel="00000000" w:rsidP="00000000" w:rsidRDefault="00000000" w:rsidRPr="00000000" w14:paraId="00000013">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a strict </w:t>
      </w:r>
      <m:oMath>
        <m:r>
          <w:rPr>
            <w:rFonts w:ascii="Times New Roman" w:cs="Times New Roman" w:eastAsia="Times New Roman" w:hAnsi="Times New Roman"/>
          </w:rPr>
          <m:t xml:space="preserve">Z₂</m:t>
        </m:r>
      </m:oMath>
      <w:sdt>
        <w:sdtPr>
          <w:id w:val="1754804266"/>
          <w:tag w:val="goog_rdk_1"/>
        </w:sdtPr>
        <w:sdtContent>
          <w:r w:rsidDel="00000000" w:rsidR="00000000" w:rsidRPr="00000000">
            <w:rPr>
              <w:rFonts w:ascii="Cardo" w:cs="Cardo" w:eastAsia="Cardo" w:hAnsi="Cardo"/>
              <w:rtl w:val="0"/>
            </w:rPr>
            <w:t xml:space="preserve"> symmetry (s → −s), only even powers of </w:t>
          </w:r>
        </w:sdtContent>
      </w:sdt>
      <w:r w:rsidDel="00000000" w:rsidR="00000000" w:rsidRPr="00000000">
        <w:rPr>
          <w:rFonts w:ascii="Times New Roman" w:cs="Times New Roman" w:eastAsia="Times New Roman" w:hAnsi="Times New Roman"/>
          <w:i w:val="1"/>
          <w:iCs w:val="1"/>
          <w:rtl w:val="0"/>
        </w:rPr>
        <w:t xml:space="preserve">s</w:t>
      </w:r>
      <w:r w:rsidDel="00000000" w:rsidR="00000000" w:rsidRPr="00000000">
        <w:rPr>
          <w:rFonts w:ascii="Times New Roman" w:cs="Times New Roman" w:eastAsia="Times New Roman" w:hAnsi="Times New Roman"/>
          <w:rtl w:val="0"/>
        </w:rPr>
        <w:t xml:space="preserve"> remain, reducing the potential to the classical Higgs-portal with parameters </w:t>
      </w:r>
      <m:oMath>
        <m:r>
          <w:rPr>
            <w:rFonts w:ascii="Times New Roman" w:cs="Times New Roman" w:eastAsia="Times New Roman" w:hAnsi="Times New Roman"/>
          </w:rPr>
          <m:t xml:space="preserve">a₂ = 8,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m</m:t>
            </m:r>
          </m:e>
          <m:sub>
            <m:r>
              <w:rPr>
                <w:rFonts w:ascii="Times New Roman" w:cs="Times New Roman" w:eastAsia="Times New Roman" w:hAnsi="Times New Roman"/>
              </w:rPr>
              <m:t xml:space="preserve">S</m:t>
            </m:r>
          </m:sub>
        </m:sSub>
        <m:r>
          <w:rPr>
            <w:rFonts w:ascii="Times New Roman" w:cs="Times New Roman" w:eastAsia="Times New Roman" w:hAnsi="Times New Roman"/>
          </w:rPr>
          <m:t xml:space="preserve"> ≈ 4,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m</m:t>
            </m:r>
          </m:e>
          <m:sub>
            <m:r>
              <w:rPr>
                <w:rFonts w:ascii="Times New Roman" w:cs="Times New Roman" w:eastAsia="Times New Roman" w:hAnsi="Times New Roman"/>
              </w:rPr>
              <m:t xml:space="preserve">t</m:t>
            </m:r>
          </m:sub>
        </m:sSub>
        <m:r>
          <w:rPr>
            <w:rFonts w:ascii="Times New Roman" w:cs="Times New Roman" w:eastAsia="Times New Roman" w:hAnsi="Times New Roman"/>
          </w:rPr>
          <m:t xml:space="preserve"> ≈ 692 GeV, sinθ = 0</m:t>
        </m:r>
      </m:oMath>
      <w:r w:rsidDel="00000000" w:rsidR="00000000" w:rsidRPr="00000000">
        <w:rPr>
          <w:rFonts w:ascii="Times New Roman" w:cs="Times New Roman" w:eastAsia="Times New Roman" w:hAnsi="Times New Roman"/>
          <w:rtl w:val="0"/>
        </w:rPr>
        <w:t xml:space="preserve"> shown in Fig. 1.</w:t>
      </w:r>
    </w:p>
    <w:p w:rsidR="00000000" w:rsidDel="00000000" w:rsidP="00000000" w:rsidRDefault="00000000" w:rsidRPr="00000000" w14:paraId="00000014">
      <w:pPr>
        <w:widowControl w:val="0"/>
        <w:spacing w:after="0" w:lin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085148" cy="294176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85148" cy="2941767"/>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widowControl w:val="0"/>
        <w:spacing w:after="0" w:line="240" w:lineRule="auto"/>
        <w:ind w:firstLine="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widowControl w:val="0"/>
        <w:spacing w:after="0" w:lin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 1. 3D surface of the potential with a Z₂-symmetric singlet. </w:t>
      </w:r>
    </w:p>
    <w:p w:rsidR="00000000" w:rsidDel="00000000" w:rsidP="00000000" w:rsidRDefault="00000000" w:rsidRPr="00000000" w14:paraId="00000017">
      <w:pPr>
        <w:widowControl w:val="0"/>
        <w:spacing w:after="0" w:line="240" w:lineRule="auto"/>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shifting the fields to the electroweak vacuum </w:t>
      </w:r>
      <m:oMath>
        <m:r>
          <w:rPr>
            <w:rFonts w:ascii="Times New Roman" w:cs="Times New Roman" w:eastAsia="Times New Roman" w:hAnsi="Times New Roman"/>
          </w:rPr>
          <m:t xml:space="preserve">h = v + x, s = y (v ≈ 246 GeV)</m:t>
        </m:r>
      </m:oMath>
      <w:r w:rsidDel="00000000" w:rsidR="00000000" w:rsidRPr="00000000">
        <w:rPr>
          <w:rFonts w:ascii="Times New Roman" w:cs="Times New Roman" w:eastAsia="Times New Roman" w:hAnsi="Times New Roman"/>
          <w:rtl w:val="0"/>
        </w:rPr>
        <w:t xml:space="preserve"> and expanding up to fourth order inclusive, we obtain the effective potential in the vicinity of (x,y) = (0,0). The critical point (0,0) is a minimum (or a saddle point in the case of strong mixing), and we analyze the ideal of partial derivatives </w:t>
      </w:r>
      <m:oMath>
        <m:r>
          <w:rPr>
            <w:rFonts w:ascii="Times New Roman" w:cs="Times New Roman" w:eastAsia="Times New Roman" w:hAnsi="Times New Roman"/>
          </w:rPr>
          <m:t xml:space="preserve">J = ⟨∂V/∂x, ∂V/∂y⟩ </m:t>
        </m:r>
      </m:oMath>
      <w:r w:rsidDel="00000000" w:rsidR="00000000" w:rsidRPr="00000000">
        <w:rPr>
          <w:rFonts w:ascii="Times New Roman" w:cs="Times New Roman" w:eastAsia="Times New Roman" w:hAnsi="Times New Roman"/>
          <w:rtl w:val="0"/>
        </w:rPr>
        <w:t xml:space="preserve">in the ring </w:t>
      </w:r>
      <m:oMath>
        <m:r>
          <w:rPr>
            <w:rFonts w:ascii="Times New Roman" w:cs="Times New Roman" w:eastAsia="Times New Roman" w:hAnsi="Times New Roman"/>
          </w:rPr>
          <m:t xml:space="preserve">ℂ{x,y}</m:t>
        </m:r>
      </m:oMath>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computation of the Groebner basis of the ideal </w:t>
      </w:r>
      <w:r w:rsidDel="00000000" w:rsidR="00000000" w:rsidRPr="00000000">
        <w:rPr>
          <w:rFonts w:ascii="Times New Roman" w:cs="Times New Roman" w:eastAsia="Times New Roman" w:hAnsi="Times New Roman"/>
          <w:i w:val="1"/>
          <w:iCs w:val="1"/>
          <w:rtl w:val="0"/>
        </w:rPr>
        <w:t xml:space="preserve">J</w:t>
      </w:r>
      <w:r w:rsidDel="00000000" w:rsidR="00000000" w:rsidRPr="00000000">
        <w:rPr>
          <w:rFonts w:ascii="Times New Roman" w:cs="Times New Roman" w:eastAsia="Times New Roman" w:hAnsi="Times New Roman"/>
          <w:rtl w:val="0"/>
        </w:rPr>
        <w:t xml:space="preserve"> and counting the standard monomials, it was found that throughout the entire physically allowed parameter space [3]: </w:t>
      </w:r>
    </w:p>
    <w:p w:rsidR="00000000" w:rsidDel="00000000" w:rsidP="00000000" w:rsidRDefault="00000000" w:rsidRPr="00000000" w14:paraId="0000001A">
      <w:pPr>
        <w:widowControl w:val="0"/>
        <w:spacing w:after="0" w:line="240" w:lineRule="auto"/>
        <w:ind w:left="0" w:firstLine="0"/>
        <w:jc w:val="center"/>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m</m:t>
            </m:r>
          </m:e>
          <m:sub>
            <m:r>
              <w:rPr>
                <w:rFonts w:ascii="Times New Roman" w:cs="Times New Roman" w:eastAsia="Times New Roman" w:hAnsi="Times New Roman"/>
              </w:rPr>
              <m:t xml:space="preserve">S</m:t>
            </m:r>
          </m:sub>
        </m:sSub>
        <m:r>
          <w:rPr>
            <w:rFonts w:ascii="Times New Roman" w:cs="Times New Roman" w:eastAsia="Times New Roman" w:hAnsi="Times New Roman"/>
          </w:rPr>
          <m:t xml:space="preserve"> = 400 GeV – TeV, |sin θ| ≤ 0.3, a₂ = 1–8, b₄ &gt; 0, arbitrary Z₂-breaking b₁, b₃, a₁ </m:t>
        </m:r>
      </m:oMath>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widowControl w:val="0"/>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LHC-compatible bounds, the Milnor number is stably μ = 9.</w:t>
      </w:r>
    </w:p>
    <w:p w:rsidR="00000000" w:rsidDel="00000000" w:rsidP="00000000" w:rsidRDefault="00000000" w:rsidRPr="00000000" w14:paraId="0000001C">
      <w:pPr>
        <w:widowControl w:val="0"/>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value μ = 9 remains robust even in extreme limiting cases:  </w:t>
      </w:r>
    </w:p>
    <w:p w:rsidR="00000000" w:rsidDel="00000000" w:rsidP="00000000" w:rsidRDefault="00000000" w:rsidRPr="00000000" w14:paraId="0000001D">
      <w:pPr>
        <w:widowControl w:val="0"/>
        <w:spacing w:after="0" w:line="240" w:lineRule="auto"/>
        <w:ind w:firstLine="284"/>
        <w:jc w:val="both"/>
        <w:rPr>
          <w:rFonts w:ascii="Times New Roman" w:cs="Times New Roman" w:eastAsia="Times New Roman" w:hAnsi="Times New Roman"/>
        </w:rPr>
      </w:pPr>
      <w:sdt>
        <w:sdtPr>
          <w:id w:val="1359796002"/>
          <w:tag w:val="goog_rdk_2"/>
        </w:sdtPr>
        <w:sdtContent>
          <w:r w:rsidDel="00000000" w:rsidR="00000000" w:rsidRPr="00000000">
            <w:rPr>
              <w:rFonts w:ascii="Cardo" w:cs="Cardo" w:eastAsia="Cardo" w:hAnsi="Cardo"/>
              <w:rtl w:val="0"/>
            </w:rPr>
            <w:t xml:space="preserve">- at maximal mixing sin θ ≈ 0.3, when the electroweak vacuum ceases to be the global minimum and is strongly displaced;  </w:t>
          </w:r>
        </w:sdtContent>
      </w:sdt>
    </w:p>
    <w:p w:rsidR="00000000" w:rsidDel="00000000" w:rsidP="00000000" w:rsidRDefault="00000000" w:rsidRPr="00000000" w14:paraId="0000001E">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when large </w:t>
      </w:r>
      <m:oMath>
        <m:r>
          <w:rPr>
            <w:rFonts w:ascii="Times New Roman" w:cs="Times New Roman" w:eastAsia="Times New Roman" w:hAnsi="Times New Roman"/>
          </w:rPr>
          <m:t xml:space="preserve">Z₂</m:t>
        </m:r>
      </m:oMath>
      <w:r w:rsidDel="00000000" w:rsidR="00000000" w:rsidRPr="00000000">
        <w:rPr>
          <w:rFonts w:ascii="Times New Roman" w:cs="Times New Roman" w:eastAsia="Times New Roman" w:hAnsi="Times New Roman"/>
          <w:rtl w:val="0"/>
        </w:rPr>
        <w:t xml:space="preserve">-breaking linear and cubic terms are introduced (b₁ up to 10⁵ GeV, b₃ up to ±10⁴ GeV);  </w:t>
      </w:r>
    </w:p>
    <w:p w:rsidR="00000000" w:rsidDel="00000000" w:rsidP="00000000" w:rsidRDefault="00000000" w:rsidRPr="00000000" w14:paraId="0000001F">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 arbitrarily large singlet mass and portal coupling.  </w:t>
      </w:r>
    </w:p>
    <w:p w:rsidR="00000000" w:rsidDel="00000000" w:rsidP="00000000" w:rsidRDefault="00000000" w:rsidRPr="00000000" w14:paraId="00000020">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of these extreme regimes reduces μ below 9 or moves the singularity into the simple A–D–E class. Consequently, the electroweak vacuum in the simplest and most studied scalar extension of the Standard Model fundamentally cannot be described by any elementary Arnold catastrophe.</w:t>
      </w:r>
    </w:p>
    <w:p w:rsidR="00000000" w:rsidDel="00000000" w:rsidP="00000000" w:rsidRDefault="00000000" w:rsidRPr="00000000" w14:paraId="00000021">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 has several important implications:  </w:t>
      </w:r>
    </w:p>
    <w:p w:rsidR="00000000" w:rsidDel="00000000" w:rsidP="00000000" w:rsidRDefault="00000000" w:rsidRPr="00000000" w14:paraId="00000022">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Searching for exceptional E₆–E₈ singularities in the scalar sector beyond the Standard Model requires significantly more complicated models (additional singlets, triplets, higher representations, or explicit breaking of global symmetries);  </w:t>
      </w:r>
    </w:p>
    <w:p w:rsidR="00000000" w:rsidDel="00000000" w:rsidP="00000000" w:rsidRDefault="00000000" w:rsidRPr="00000000" w14:paraId="00000023">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stability of </w:t>
      </w:r>
      <m:oMath>
        <m:r>
          <w:rPr>
            <w:rFonts w:ascii="Times New Roman" w:cs="Times New Roman" w:eastAsia="Times New Roman" w:hAnsi="Times New Roman"/>
          </w:rPr>
          <m:t xml:space="preserve">μ</m:t>
        </m:r>
      </m:oMath>
      <w:r w:rsidDel="00000000" w:rsidR="00000000" w:rsidRPr="00000000">
        <w:rPr>
          <w:rFonts w:ascii="Times New Roman" w:cs="Times New Roman" w:eastAsia="Times New Roman" w:hAnsi="Times New Roman"/>
          <w:rtl w:val="0"/>
        </w:rPr>
        <w:t xml:space="preserve"> = 9 explains the remarkable flatness of the potential along the singlet direction (the well-known “flat direction” in the Higgs portal), with cosmological consequences (inflation, strong first-order phase transitions, etc.);  </w:t>
      </w:r>
    </w:p>
    <w:p w:rsidR="00000000" w:rsidDel="00000000" w:rsidP="00000000" w:rsidRDefault="00000000" w:rsidRPr="00000000" w14:paraId="00000024">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 algebraic technique (Groebner bases + Milnor number) proves to be a powerful and universal tool for classifying critical points in multi-parameter field theories.</w:t>
      </w:r>
    </w:p>
    <w:p w:rsidR="00000000" w:rsidDel="00000000" w:rsidP="00000000" w:rsidRDefault="00000000" w:rsidRPr="00000000" w14:paraId="00000025">
      <w:pPr>
        <w:widowControl w:val="0"/>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in real scalar extensions of the Standard Model with a single Z₂ singlet, the electroweak vacuum is always characterized by a composite singularity with Milnor number 9, which excludes it from belonging to the exotic simple A–D–E catastrophes, in particular to the theoretically most degenerate E₈.</w:t>
      </w:r>
    </w:p>
    <w:p w:rsidR="00000000" w:rsidDel="00000000" w:rsidP="00000000" w:rsidRDefault="00000000" w:rsidRPr="00000000" w14:paraId="00000026">
      <w:pPr>
        <w:widowControl w:val="0"/>
        <w:spacing w:after="0" w:line="240" w:lineRule="auto"/>
        <w:ind w:firstLine="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widowControl w:val="0"/>
        <w:numPr>
          <w:ilvl w:val="0"/>
          <w:numId w:val="1"/>
        </w:numPr>
        <w:tabs>
          <w:tab w:val="left" w:leader="none" w:pos="426"/>
        </w:tabs>
        <w:spacing w:after="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Jorge de Blas et al. Physics Briefing Book: Input for the 2026 update of the European Strategy for Particle Physics. arXiv:2511.03883 [hep-ex]. </w:t>
      </w:r>
    </w:p>
    <w:p w:rsidR="00000000" w:rsidDel="00000000" w:rsidP="00000000" w:rsidRDefault="00000000" w:rsidRPr="00000000" w14:paraId="00000028">
      <w:pPr>
        <w:widowControl w:val="0"/>
        <w:numPr>
          <w:ilvl w:val="0"/>
          <w:numId w:val="1"/>
        </w:numPr>
        <w:tabs>
          <w:tab w:val="left" w:leader="none" w:pos="426"/>
        </w:tabs>
        <w:spacing w:after="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Mikhail Entov. On the A-D-E classification of the simple singularities of functions. arXiv:alg-geom/9405007.</w:t>
      </w:r>
    </w:p>
    <w:p w:rsidR="00000000" w:rsidDel="00000000" w:rsidP="00000000" w:rsidRDefault="00000000" w:rsidRPr="00000000" w14:paraId="00000029">
      <w:pPr>
        <w:widowControl w:val="0"/>
        <w:numPr>
          <w:ilvl w:val="0"/>
          <w:numId w:val="1"/>
        </w:numPr>
        <w:tabs>
          <w:tab w:val="left" w:leader="none" w:pos="426"/>
        </w:tabs>
        <w:spacing w:after="0" w:line="240" w:lineRule="auto"/>
        <w:ind w:left="426" w:hanging="426"/>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 Crawford and D. Sutherland, Non-decoupling scalars at future colliders, arXiv:2409.18177 [hep-ph].</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customStyle="1">
    <w:name w:val="По умолчанию"/>
    <w:rsid w:val="00E21E91"/>
    <w:pPr>
      <w:suppressAutoHyphens w:val="1"/>
      <w:spacing w:after="0" w:line="240" w:lineRule="auto"/>
    </w:pPr>
    <w:rPr>
      <w:rFonts w:ascii="Helvetica Neue" w:cs="Arial Unicode MS" w:eastAsia="Arial Unicode MS" w:hAnsi="Helvetica Neue"/>
      <w:color w:val="000000"/>
      <w:lang w:eastAsia="zh-CN" w:val="en-US"/>
    </w:rPr>
  </w:style>
  <w:style w:type="character" w:styleId="a4" w:customStyle="1">
    <w:name w:val="Нет"/>
    <w:rsid w:val="00E21E91"/>
  </w:style>
  <w:style w:type="character" w:styleId="a5">
    <w:name w:val="Hyperlink"/>
    <w:uiPriority w:val="99"/>
    <w:unhideWhenUsed w:val="1"/>
    <w:rsid w:val="00E21E91"/>
    <w:rPr>
      <w:color w:val="0000ff"/>
      <w:u w:val="single"/>
    </w:rPr>
  </w:style>
  <w:style w:type="paragraph" w:styleId="a6">
    <w:name w:val="List Paragraph"/>
    <w:basedOn w:val="a"/>
    <w:uiPriority w:val="34"/>
    <w:qFormat w:val="1"/>
    <w:rsid w:val="00E21E9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Тема Office">
  <a:themeElements>
    <a:clrScheme name="Другая 1">
      <a:dk1>
        <a:srgbClr val="B969B8"/>
      </a:dk1>
      <a:lt1>
        <a:sysClr val="window" lastClr="000000"/>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aeOB2wO7SHSG3/iqItGKAV9ZQ==">CgMxLjAaIwoBMBIeChwIB0IYCg9UaW1lcyBOZXcgUm9tYW4SBUNhcmRvGiMKATESHgocCAdCGAoPVGltZXMgTmV3IFJvbWFuEgVDYXJkbxojCgEyEh4KHAgHQhgKD1RpbWVzIE5ldyBSb21hbhIFQ2FyZG84AHIhMWJXRHlOS1dvRzlEWUlZVTM2X1BYNUtfTkFRRFhxTFhP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2025-11-03T10:49:00Z</dcterms:created>
  <dc:creator>User</dc:creator>
</cp:coreProperties>
</file>